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159B7" w14:textId="00481A9C" w:rsidR="00DE64BB" w:rsidRPr="009C2FD0" w:rsidRDefault="00FF2F1D" w:rsidP="00DE64BB">
      <w:pPr>
        <w:jc w:val="center"/>
        <w:rPr>
          <w:b/>
          <w:sz w:val="32"/>
          <w:szCs w:val="32"/>
        </w:rPr>
      </w:pPr>
      <w:r w:rsidRPr="009C2FD0">
        <w:rPr>
          <w:rFonts w:ascii="宋体" w:hAnsi="宋体" w:hint="eastAsia"/>
          <w:b/>
          <w:sz w:val="32"/>
          <w:szCs w:val="32"/>
        </w:rPr>
        <w:t>天津工业大学全国统考硕士入学考试业务课程大纲</w:t>
      </w:r>
    </w:p>
    <w:p w14:paraId="274B93E7" w14:textId="77777777" w:rsidR="00CE21E4" w:rsidRDefault="00CE21E4" w:rsidP="00DE64BB">
      <w:pPr>
        <w:spacing w:line="360" w:lineRule="auto"/>
        <w:jc w:val="center"/>
        <w:rPr>
          <w:rFonts w:ascii="宋体" w:hAnsi="宋体"/>
          <w:sz w:val="24"/>
        </w:rPr>
      </w:pPr>
    </w:p>
    <w:p w14:paraId="1975D744" w14:textId="77777777" w:rsidR="00CE21E4" w:rsidRDefault="00FF2F1D" w:rsidP="00FF2F1D">
      <w:pPr>
        <w:spacing w:line="360" w:lineRule="auto"/>
        <w:rPr>
          <w:rFonts w:ascii="宋体" w:hAnsi="宋体"/>
          <w:sz w:val="24"/>
        </w:rPr>
      </w:pPr>
      <w:r>
        <w:rPr>
          <w:rFonts w:ascii="宋体" w:hAnsi="宋体" w:hint="eastAsia"/>
          <w:sz w:val="24"/>
        </w:rPr>
        <w:t>课程编号：816                               课程名称：西方经济学</w:t>
      </w:r>
    </w:p>
    <w:p w14:paraId="58D01714" w14:textId="77777777" w:rsidR="00CE21E4" w:rsidRDefault="00CE21E4" w:rsidP="00FF2F1D">
      <w:pPr>
        <w:spacing w:line="360" w:lineRule="auto"/>
        <w:rPr>
          <w:rFonts w:ascii="宋体" w:hAnsi="宋体"/>
          <w:sz w:val="24"/>
        </w:rPr>
      </w:pPr>
    </w:p>
    <w:p w14:paraId="42125021" w14:textId="77777777" w:rsidR="00CE21E4" w:rsidRDefault="00FF2F1D" w:rsidP="00FF2F1D">
      <w:pPr>
        <w:spacing w:line="360" w:lineRule="auto"/>
        <w:rPr>
          <w:rFonts w:ascii="宋体" w:hAnsi="宋体"/>
          <w:b/>
          <w:bCs/>
          <w:sz w:val="24"/>
        </w:rPr>
      </w:pPr>
      <w:r>
        <w:rPr>
          <w:rFonts w:ascii="宋体" w:hAnsi="宋体" w:hint="eastAsia"/>
          <w:b/>
          <w:bCs/>
          <w:sz w:val="24"/>
        </w:rPr>
        <w:t>一、考试的总体要求</w:t>
      </w:r>
    </w:p>
    <w:p w14:paraId="5398D11D" w14:textId="77777777" w:rsidR="00CE21E4" w:rsidRDefault="00FF2F1D" w:rsidP="00FF2F1D">
      <w:pPr>
        <w:spacing w:line="360" w:lineRule="auto"/>
        <w:ind w:firstLineChars="200" w:firstLine="480"/>
        <w:rPr>
          <w:rFonts w:ascii="宋体" w:hAnsi="宋体"/>
          <w:sz w:val="24"/>
        </w:rPr>
      </w:pPr>
      <w:r>
        <w:rPr>
          <w:rFonts w:ascii="宋体" w:hAnsi="宋体" w:hint="eastAsia"/>
          <w:sz w:val="24"/>
        </w:rPr>
        <w:t>《西方经济学》入学考试是为招收经济类硕士生而实施的选拔性考试，其指导思想是有利于选拔具有扎实的经济学理论基础和具备一定的经济分析能力的高素质人才。本课程考试内容由微观经济学和宏观经济学两部分组成。</w:t>
      </w:r>
    </w:p>
    <w:p w14:paraId="289B182F" w14:textId="77777777" w:rsidR="00CE21E4" w:rsidRDefault="00FF2F1D" w:rsidP="00FF2F1D">
      <w:pPr>
        <w:spacing w:line="360" w:lineRule="auto"/>
        <w:ind w:firstLineChars="200" w:firstLine="480"/>
        <w:rPr>
          <w:rFonts w:ascii="宋体" w:hAnsi="宋体"/>
          <w:sz w:val="24"/>
        </w:rPr>
      </w:pPr>
      <w:r>
        <w:rPr>
          <w:rFonts w:ascii="宋体" w:hAnsi="宋体" w:hint="eastAsia"/>
          <w:sz w:val="24"/>
        </w:rPr>
        <w:t>微观经济学是西方经济学的基础，涉及个</w:t>
      </w:r>
      <w:r w:rsidR="00FA7203">
        <w:rPr>
          <w:rFonts w:ascii="宋体" w:hAnsi="宋体" w:hint="eastAsia"/>
          <w:sz w:val="24"/>
        </w:rPr>
        <w:t>体的</w:t>
      </w:r>
      <w:r>
        <w:rPr>
          <w:rFonts w:ascii="宋体" w:hAnsi="宋体" w:hint="eastAsia"/>
          <w:sz w:val="24"/>
        </w:rPr>
        <w:t>经济行为分析。要求学生掌握供求分析、消费者行为分析、生产者行为分析、市场结构分析、要素市场和收入分配理论、一般均衡、市场失灵与微观经济政策等，并能运用数学工具辅助分析各类问题。</w:t>
      </w:r>
    </w:p>
    <w:p w14:paraId="60FB83F6" w14:textId="77777777" w:rsidR="00CE21E4" w:rsidRDefault="00FF2F1D" w:rsidP="00FF2F1D">
      <w:pPr>
        <w:spacing w:line="360" w:lineRule="auto"/>
        <w:ind w:firstLineChars="200" w:firstLine="480"/>
        <w:rPr>
          <w:rFonts w:ascii="宋体" w:hAnsi="宋体"/>
          <w:sz w:val="24"/>
        </w:rPr>
      </w:pPr>
      <w:r>
        <w:rPr>
          <w:rFonts w:ascii="宋体" w:hAnsi="宋体" w:hint="eastAsia"/>
          <w:sz w:val="24"/>
        </w:rPr>
        <w:t>宏观经济学是在微观经济学的基础上对宏观经济进行分析的专业基础课。要求学生掌握国民收入核算、国民收入决定理论、产品市场和货币市场的均衡、总需求与总供给、失业与通货膨胀、宏观经济政策、经济增长等，并能运用所学知识分析解决一定的实际宏观经济问题。</w:t>
      </w:r>
    </w:p>
    <w:p w14:paraId="2C0259BF" w14:textId="77777777" w:rsidR="00CE21E4" w:rsidRDefault="00FF2F1D" w:rsidP="00FF2F1D">
      <w:pPr>
        <w:spacing w:line="360" w:lineRule="auto"/>
        <w:rPr>
          <w:rFonts w:ascii="宋体" w:hAnsi="宋体"/>
          <w:b/>
          <w:bCs/>
          <w:sz w:val="24"/>
        </w:rPr>
      </w:pPr>
      <w:r>
        <w:rPr>
          <w:rFonts w:ascii="宋体" w:hAnsi="宋体" w:hint="eastAsia"/>
          <w:b/>
          <w:bCs/>
          <w:sz w:val="24"/>
        </w:rPr>
        <w:t>二、考试的内容及比例</w:t>
      </w:r>
    </w:p>
    <w:p w14:paraId="7139C502" w14:textId="77777777" w:rsidR="00684A62" w:rsidRDefault="00FF2F1D" w:rsidP="00684A62">
      <w:pPr>
        <w:spacing w:line="360" w:lineRule="auto"/>
        <w:ind w:firstLineChars="200" w:firstLine="482"/>
        <w:rPr>
          <w:rFonts w:ascii="宋体" w:hAnsi="宋体"/>
          <w:b/>
          <w:bCs/>
          <w:sz w:val="24"/>
        </w:rPr>
      </w:pPr>
      <w:r>
        <w:rPr>
          <w:rFonts w:ascii="宋体" w:hAnsi="宋体" w:hint="eastAsia"/>
          <w:b/>
          <w:bCs/>
          <w:sz w:val="24"/>
        </w:rPr>
        <w:t>1.微观经济学考试的</w:t>
      </w:r>
      <w:r w:rsidR="00FA7203">
        <w:rPr>
          <w:rFonts w:ascii="宋体" w:hAnsi="宋体" w:hint="eastAsia"/>
          <w:b/>
          <w:bCs/>
          <w:sz w:val="24"/>
        </w:rPr>
        <w:t>主要</w:t>
      </w:r>
      <w:r>
        <w:rPr>
          <w:rFonts w:ascii="宋体" w:hAnsi="宋体" w:hint="eastAsia"/>
          <w:b/>
          <w:bCs/>
          <w:sz w:val="24"/>
        </w:rPr>
        <w:t>内容包括：（总分</w:t>
      </w:r>
      <w:r>
        <w:rPr>
          <w:rFonts w:ascii="宋体" w:hAnsi="宋体"/>
          <w:b/>
          <w:bCs/>
          <w:sz w:val="24"/>
        </w:rPr>
        <w:t>75</w:t>
      </w:r>
      <w:r>
        <w:rPr>
          <w:rFonts w:ascii="宋体" w:hAnsi="宋体" w:hint="eastAsia"/>
          <w:b/>
          <w:bCs/>
          <w:sz w:val="24"/>
        </w:rPr>
        <w:t>分，占</w:t>
      </w:r>
      <w:r>
        <w:rPr>
          <w:rFonts w:ascii="宋体" w:hAnsi="宋体"/>
          <w:b/>
          <w:bCs/>
          <w:sz w:val="24"/>
        </w:rPr>
        <w:t>50</w:t>
      </w:r>
      <w:r>
        <w:rPr>
          <w:rFonts w:ascii="宋体" w:hAnsi="宋体" w:hint="eastAsia"/>
          <w:b/>
          <w:bCs/>
          <w:sz w:val="24"/>
        </w:rPr>
        <w:t>％）</w:t>
      </w:r>
    </w:p>
    <w:p w14:paraId="5047C8A6" w14:textId="77777777" w:rsidR="00CE21E4" w:rsidRPr="00684A62" w:rsidRDefault="00FF2F1D" w:rsidP="00FF2CA1">
      <w:pPr>
        <w:spacing w:line="360" w:lineRule="auto"/>
        <w:ind w:firstLineChars="200" w:firstLine="420"/>
        <w:rPr>
          <w:rFonts w:ascii="宋体" w:hAnsi="宋体"/>
          <w:b/>
          <w:bCs/>
          <w:sz w:val="24"/>
        </w:rPr>
      </w:pPr>
      <w:r>
        <w:rPr>
          <w:rFonts w:ascii="宋体" w:hAnsi="宋体" w:cs="宋体" w:hint="eastAsia"/>
          <w:kern w:val="0"/>
        </w:rPr>
        <w:t>①</w:t>
      </w:r>
      <w:r>
        <w:rPr>
          <w:rFonts w:ascii="宋体" w:hAnsi="宋体" w:cs="宋体" w:hint="eastAsia"/>
          <w:sz w:val="24"/>
        </w:rPr>
        <w:t>需求、供给基本原理。</w:t>
      </w:r>
    </w:p>
    <w:p w14:paraId="6CE969EF" w14:textId="77777777" w:rsidR="00CE21E4" w:rsidRDefault="00FA7203" w:rsidP="00FF2CA1">
      <w:pPr>
        <w:spacing w:line="360" w:lineRule="auto"/>
        <w:ind w:firstLineChars="200" w:firstLine="480"/>
        <w:rPr>
          <w:rFonts w:ascii="宋体" w:hAnsi="宋体" w:cs="宋体"/>
          <w:sz w:val="24"/>
        </w:rPr>
      </w:pPr>
      <w:r>
        <w:rPr>
          <w:rFonts w:ascii="宋体" w:hAnsi="宋体" w:cs="宋体" w:hint="eastAsia"/>
          <w:sz w:val="24"/>
        </w:rPr>
        <w:t>②</w:t>
      </w:r>
      <w:r w:rsidR="00FF2F1D">
        <w:rPr>
          <w:rFonts w:ascii="宋体" w:hAnsi="宋体" w:cs="宋体" w:hint="eastAsia"/>
          <w:sz w:val="24"/>
        </w:rPr>
        <w:t>消费者行为理论，主要包括基数效用论及序数效用论，替代效应、收入效应。</w:t>
      </w:r>
    </w:p>
    <w:p w14:paraId="5191E9AA" w14:textId="77777777" w:rsidR="00CE21E4" w:rsidRDefault="00FA7203" w:rsidP="00FF2CA1">
      <w:pPr>
        <w:spacing w:line="360" w:lineRule="auto"/>
        <w:ind w:firstLineChars="200" w:firstLine="480"/>
        <w:rPr>
          <w:rFonts w:ascii="宋体" w:hAnsi="宋体" w:cs="宋体"/>
          <w:sz w:val="24"/>
        </w:rPr>
      </w:pPr>
      <w:r>
        <w:rPr>
          <w:rFonts w:ascii="宋体" w:hAnsi="宋体" w:cs="宋体" w:hint="eastAsia"/>
          <w:sz w:val="24"/>
        </w:rPr>
        <w:t>③</w:t>
      </w:r>
      <w:r w:rsidR="00FF2F1D">
        <w:rPr>
          <w:rFonts w:ascii="宋体" w:hAnsi="宋体" w:cs="宋体" w:hint="eastAsia"/>
          <w:sz w:val="24"/>
        </w:rPr>
        <w:t>生产者行为理论，主要包括生产理论及成本理论。</w:t>
      </w:r>
    </w:p>
    <w:p w14:paraId="65BDF1B4" w14:textId="77777777" w:rsidR="00CE21E4" w:rsidRDefault="00FA7203" w:rsidP="00FF2CA1">
      <w:pPr>
        <w:spacing w:line="360" w:lineRule="auto"/>
        <w:ind w:firstLineChars="200" w:firstLine="480"/>
        <w:rPr>
          <w:rFonts w:ascii="宋体" w:hAnsi="宋体" w:cs="宋体"/>
          <w:sz w:val="24"/>
        </w:rPr>
      </w:pPr>
      <w:r>
        <w:rPr>
          <w:rFonts w:ascii="宋体" w:hAnsi="宋体" w:cs="宋体" w:hint="eastAsia"/>
          <w:sz w:val="24"/>
        </w:rPr>
        <w:t>④</w:t>
      </w:r>
      <w:r w:rsidR="00FF2F1D">
        <w:rPr>
          <w:rFonts w:ascii="宋体" w:hAnsi="宋体" w:cs="宋体" w:hint="eastAsia"/>
          <w:sz w:val="24"/>
        </w:rPr>
        <w:t>市场结构理论，涉及完全竞争市场结构及不完全竞争市场结构理论。</w:t>
      </w:r>
    </w:p>
    <w:p w14:paraId="42EE6327" w14:textId="77777777" w:rsidR="00CE21E4" w:rsidRDefault="00FA7203" w:rsidP="00FF2CA1">
      <w:pPr>
        <w:spacing w:line="360" w:lineRule="auto"/>
        <w:ind w:firstLineChars="200" w:firstLine="480"/>
        <w:rPr>
          <w:rFonts w:ascii="宋体" w:hAnsi="宋体" w:cs="宋体"/>
          <w:sz w:val="24"/>
        </w:rPr>
      </w:pPr>
      <w:r>
        <w:rPr>
          <w:rFonts w:ascii="宋体" w:hAnsi="宋体" w:cs="宋体" w:hint="eastAsia"/>
          <w:sz w:val="24"/>
        </w:rPr>
        <w:t>⑤</w:t>
      </w:r>
      <w:r w:rsidR="00FF2F1D">
        <w:rPr>
          <w:rFonts w:ascii="宋体" w:hAnsi="宋体" w:cs="宋体" w:hint="eastAsia"/>
          <w:sz w:val="24"/>
        </w:rPr>
        <w:t>要素市场理论，重点为完全竞争的要素市场理论。</w:t>
      </w:r>
    </w:p>
    <w:p w14:paraId="4E5EA410" w14:textId="77777777" w:rsidR="00CE21E4" w:rsidRDefault="00FA7203" w:rsidP="00FF2CA1">
      <w:pPr>
        <w:spacing w:line="360" w:lineRule="auto"/>
        <w:ind w:firstLineChars="200" w:firstLine="480"/>
        <w:rPr>
          <w:rFonts w:ascii="宋体" w:hAnsi="宋体" w:cs="宋体"/>
          <w:sz w:val="24"/>
        </w:rPr>
      </w:pPr>
      <w:r>
        <w:rPr>
          <w:rFonts w:ascii="宋体" w:hAnsi="宋体" w:cs="宋体" w:hint="eastAsia"/>
          <w:sz w:val="24"/>
        </w:rPr>
        <w:t>⑥</w:t>
      </w:r>
      <w:r w:rsidR="00FF2F1D">
        <w:rPr>
          <w:rFonts w:ascii="宋体" w:hAnsi="宋体" w:cs="宋体" w:hint="eastAsia"/>
          <w:sz w:val="24"/>
        </w:rPr>
        <w:t>一般均衡理论，涉及消费的一般均衡、生产的一般均衡、消费及生产的一般均衡。</w:t>
      </w:r>
    </w:p>
    <w:p w14:paraId="1FC8CBF0" w14:textId="77777777" w:rsidR="00CE21E4" w:rsidRDefault="00FA7203" w:rsidP="00FF2CA1">
      <w:pPr>
        <w:spacing w:line="360" w:lineRule="auto"/>
        <w:ind w:firstLineChars="200" w:firstLine="480"/>
        <w:rPr>
          <w:rFonts w:ascii="宋体" w:hAnsi="宋体" w:cs="宋体"/>
          <w:sz w:val="24"/>
        </w:rPr>
      </w:pPr>
      <w:r>
        <w:rPr>
          <w:rFonts w:ascii="宋体" w:hAnsi="宋体" w:cs="宋体" w:hint="eastAsia"/>
          <w:sz w:val="24"/>
        </w:rPr>
        <w:t>⑦</w:t>
      </w:r>
      <w:r w:rsidR="00FF2F1D">
        <w:rPr>
          <w:rFonts w:ascii="宋体" w:hAnsi="宋体" w:cs="宋体" w:hint="eastAsia"/>
          <w:sz w:val="24"/>
        </w:rPr>
        <w:t>市场失灵理论，涉及外部性、公共物品、信息不完全理论。</w:t>
      </w:r>
    </w:p>
    <w:p w14:paraId="75446CA8" w14:textId="77777777" w:rsidR="00CE21E4" w:rsidRDefault="00FF2F1D" w:rsidP="00FF2F1D">
      <w:pPr>
        <w:spacing w:line="360" w:lineRule="auto"/>
        <w:ind w:firstLineChars="200" w:firstLine="482"/>
        <w:rPr>
          <w:rFonts w:ascii="宋体" w:hAnsi="宋体"/>
          <w:b/>
          <w:bCs/>
          <w:sz w:val="24"/>
        </w:rPr>
      </w:pPr>
      <w:r>
        <w:rPr>
          <w:rFonts w:ascii="宋体" w:hAnsi="宋体" w:hint="eastAsia"/>
          <w:b/>
          <w:bCs/>
          <w:sz w:val="24"/>
        </w:rPr>
        <w:t>2.宏观经济学考试的</w:t>
      </w:r>
      <w:r w:rsidR="00FA7203">
        <w:rPr>
          <w:rFonts w:ascii="宋体" w:hAnsi="宋体" w:hint="eastAsia"/>
          <w:b/>
          <w:bCs/>
          <w:sz w:val="24"/>
        </w:rPr>
        <w:t>主要</w:t>
      </w:r>
      <w:r>
        <w:rPr>
          <w:rFonts w:ascii="宋体" w:hAnsi="宋体" w:hint="eastAsia"/>
          <w:b/>
          <w:bCs/>
          <w:sz w:val="24"/>
        </w:rPr>
        <w:t>内容包括：（总分75分，占50％）</w:t>
      </w:r>
    </w:p>
    <w:p w14:paraId="5D096B41" w14:textId="77777777" w:rsidR="00CE21E4" w:rsidRDefault="00FF2F1D" w:rsidP="00FF2F1D">
      <w:pPr>
        <w:spacing w:line="360" w:lineRule="auto"/>
        <w:ind w:firstLineChars="200" w:firstLine="480"/>
        <w:rPr>
          <w:rFonts w:ascii="宋体" w:hAnsi="宋体"/>
          <w:kern w:val="0"/>
          <w:sz w:val="24"/>
        </w:rPr>
      </w:pPr>
      <w:r>
        <w:rPr>
          <w:rFonts w:ascii="宋体" w:hAnsi="宋体" w:cs="宋体" w:hint="eastAsia"/>
          <w:kern w:val="0"/>
          <w:sz w:val="24"/>
        </w:rPr>
        <w:t>①</w:t>
      </w:r>
      <w:r>
        <w:rPr>
          <w:rFonts w:ascii="宋体" w:hAnsi="宋体" w:hint="eastAsia"/>
          <w:kern w:val="0"/>
          <w:sz w:val="24"/>
        </w:rPr>
        <w:t>国民收入核算理论，包括国民收入的衡量、国民收入核算方法。</w:t>
      </w:r>
    </w:p>
    <w:p w14:paraId="4D649120" w14:textId="77777777" w:rsidR="00CE21E4" w:rsidRDefault="00FF2F1D" w:rsidP="00FF2F1D">
      <w:pPr>
        <w:spacing w:line="360" w:lineRule="auto"/>
        <w:ind w:firstLineChars="200" w:firstLine="480"/>
        <w:rPr>
          <w:rFonts w:ascii="宋体" w:hAnsi="宋体"/>
          <w:sz w:val="24"/>
        </w:rPr>
      </w:pPr>
      <w:r>
        <w:rPr>
          <w:rFonts w:ascii="宋体" w:hAnsi="宋体" w:cs="宋体" w:hint="eastAsia"/>
          <w:sz w:val="24"/>
        </w:rPr>
        <w:lastRenderedPageBreak/>
        <w:t>②</w:t>
      </w:r>
      <w:r>
        <w:rPr>
          <w:rFonts w:ascii="宋体" w:hAnsi="宋体" w:hint="eastAsia"/>
          <w:sz w:val="24"/>
        </w:rPr>
        <w:t>简单国民收入决定理论，包括均衡国民收入决定、乘数理论。</w:t>
      </w:r>
    </w:p>
    <w:p w14:paraId="262063C6" w14:textId="77777777" w:rsidR="00CE21E4" w:rsidRDefault="00FF2F1D" w:rsidP="00FF2F1D">
      <w:pPr>
        <w:spacing w:line="360" w:lineRule="auto"/>
        <w:ind w:firstLineChars="200" w:firstLine="480"/>
        <w:rPr>
          <w:rFonts w:ascii="宋体" w:hAnsi="宋体"/>
          <w:sz w:val="24"/>
        </w:rPr>
      </w:pPr>
      <w:r>
        <w:rPr>
          <w:rFonts w:ascii="宋体" w:hAnsi="宋体" w:cs="宋体" w:hint="eastAsia"/>
          <w:sz w:val="24"/>
        </w:rPr>
        <w:t>③</w:t>
      </w:r>
      <w:r>
        <w:rPr>
          <w:rFonts w:ascii="宋体" w:hAnsi="宋体" w:hint="eastAsia"/>
          <w:sz w:val="24"/>
        </w:rPr>
        <w:t>产品市场、货币市场的一般均衡，包括产品市场的均衡、货币市场的均衡、产品市场和货币市场的共同均衡。</w:t>
      </w:r>
    </w:p>
    <w:p w14:paraId="43A07307" w14:textId="77777777" w:rsidR="00CE21E4" w:rsidRDefault="00FF2F1D" w:rsidP="00FF2F1D">
      <w:pPr>
        <w:spacing w:line="360" w:lineRule="auto"/>
        <w:ind w:firstLineChars="200" w:firstLine="480"/>
        <w:rPr>
          <w:rFonts w:ascii="宋体" w:hAnsi="宋体" w:cs="宋体"/>
          <w:sz w:val="24"/>
        </w:rPr>
      </w:pPr>
      <w:r>
        <w:rPr>
          <w:rFonts w:ascii="宋体" w:hAnsi="宋体" w:cs="宋体" w:hint="eastAsia"/>
          <w:sz w:val="24"/>
        </w:rPr>
        <w:t>④</w:t>
      </w:r>
      <w:r>
        <w:rPr>
          <w:rFonts w:ascii="宋体" w:hAnsi="宋体" w:hint="eastAsia"/>
          <w:sz w:val="24"/>
        </w:rPr>
        <w:t>总需求与总供给，包括AD曲线及其变动、AS曲线及其变动、AD-AS模型。</w:t>
      </w:r>
    </w:p>
    <w:p w14:paraId="7D69B40C" w14:textId="77777777" w:rsidR="00CE21E4" w:rsidRDefault="00FF2F1D" w:rsidP="00FF2F1D">
      <w:pPr>
        <w:spacing w:line="360" w:lineRule="auto"/>
        <w:ind w:firstLineChars="200" w:firstLine="480"/>
        <w:rPr>
          <w:rFonts w:ascii="宋体" w:hAnsi="宋体" w:cs="宋体"/>
          <w:sz w:val="24"/>
        </w:rPr>
      </w:pPr>
      <w:r>
        <w:rPr>
          <w:rFonts w:ascii="宋体" w:hAnsi="宋体" w:cs="宋体" w:hint="eastAsia"/>
          <w:sz w:val="24"/>
        </w:rPr>
        <w:t>⑤失业与通货膨胀，包括失业理论、通货膨胀理论、菲利普斯曲线、经济周期。</w:t>
      </w:r>
    </w:p>
    <w:p w14:paraId="5B2D2EC3" w14:textId="77777777" w:rsidR="00CE21E4" w:rsidRDefault="00FF2F1D" w:rsidP="00FF2F1D">
      <w:pPr>
        <w:spacing w:line="360" w:lineRule="auto"/>
        <w:ind w:firstLineChars="200" w:firstLine="480"/>
        <w:rPr>
          <w:rFonts w:ascii="宋体" w:hAnsi="宋体" w:cs="宋体"/>
          <w:sz w:val="24"/>
        </w:rPr>
      </w:pPr>
      <w:r>
        <w:rPr>
          <w:rFonts w:ascii="宋体" w:hAnsi="宋体" w:cs="宋体" w:hint="eastAsia"/>
          <w:sz w:val="24"/>
        </w:rPr>
        <w:t>⑥</w:t>
      </w:r>
      <w:r>
        <w:rPr>
          <w:rFonts w:ascii="宋体" w:hAnsi="宋体" w:hint="eastAsia"/>
          <w:sz w:val="24"/>
        </w:rPr>
        <w:t>宏观经济政策分析，包括财政政策、货币政策、宏观经济政策的局限性与协调。</w:t>
      </w:r>
    </w:p>
    <w:p w14:paraId="6F67D929" w14:textId="77777777" w:rsidR="00CE21E4" w:rsidRDefault="00FF2F1D" w:rsidP="00FF2F1D">
      <w:pPr>
        <w:spacing w:line="360" w:lineRule="auto"/>
        <w:ind w:firstLineChars="200" w:firstLine="480"/>
        <w:rPr>
          <w:rFonts w:ascii="宋体" w:hAnsi="宋体"/>
          <w:sz w:val="24"/>
        </w:rPr>
      </w:pPr>
      <w:r>
        <w:rPr>
          <w:rFonts w:ascii="宋体" w:hAnsi="宋体" w:cs="宋体" w:hint="eastAsia"/>
          <w:sz w:val="24"/>
        </w:rPr>
        <w:t>⑦经济增长。包括新古典增长模型、内</w:t>
      </w:r>
      <w:proofErr w:type="gramStart"/>
      <w:r>
        <w:rPr>
          <w:rFonts w:ascii="宋体" w:hAnsi="宋体" w:cs="宋体" w:hint="eastAsia"/>
          <w:sz w:val="24"/>
        </w:rPr>
        <w:t>生增长</w:t>
      </w:r>
      <w:proofErr w:type="gramEnd"/>
      <w:r>
        <w:rPr>
          <w:rFonts w:ascii="宋体" w:hAnsi="宋体" w:cs="宋体" w:hint="eastAsia"/>
          <w:sz w:val="24"/>
        </w:rPr>
        <w:t>理论、增长核算。</w:t>
      </w:r>
    </w:p>
    <w:p w14:paraId="7E02F06D" w14:textId="77777777" w:rsidR="00CE21E4" w:rsidRDefault="00FF2F1D" w:rsidP="00FF2F1D">
      <w:pPr>
        <w:spacing w:line="360" w:lineRule="auto"/>
        <w:rPr>
          <w:rFonts w:ascii="宋体" w:hAnsi="宋体"/>
          <w:b/>
          <w:bCs/>
          <w:sz w:val="24"/>
        </w:rPr>
      </w:pPr>
      <w:r>
        <w:rPr>
          <w:rFonts w:ascii="宋体" w:hAnsi="宋体" w:hint="eastAsia"/>
          <w:b/>
          <w:bCs/>
          <w:sz w:val="24"/>
        </w:rPr>
        <w:t>三、考题类型及比例</w:t>
      </w:r>
    </w:p>
    <w:p w14:paraId="51CE9396" w14:textId="77777777" w:rsidR="00CE21E4" w:rsidRDefault="00FF2F1D" w:rsidP="00FF2F1D">
      <w:pPr>
        <w:pStyle w:val="a8"/>
        <w:numPr>
          <w:ilvl w:val="0"/>
          <w:numId w:val="2"/>
        </w:numPr>
        <w:spacing w:line="360" w:lineRule="auto"/>
        <w:ind w:firstLineChars="0"/>
        <w:rPr>
          <w:rFonts w:ascii="宋体" w:hAnsi="宋体"/>
          <w:sz w:val="24"/>
        </w:rPr>
      </w:pPr>
      <w:r>
        <w:rPr>
          <w:rFonts w:ascii="宋体" w:hAnsi="宋体" w:hint="eastAsia"/>
          <w:sz w:val="24"/>
        </w:rPr>
        <w:t>单选题（约20%）；</w:t>
      </w:r>
    </w:p>
    <w:p w14:paraId="7D00C36C" w14:textId="77777777" w:rsidR="00CE21E4" w:rsidRPr="00FF2F1D" w:rsidRDefault="00FF2F1D" w:rsidP="00FF2F1D">
      <w:pPr>
        <w:pStyle w:val="a8"/>
        <w:numPr>
          <w:ilvl w:val="0"/>
          <w:numId w:val="2"/>
        </w:numPr>
        <w:spacing w:line="360" w:lineRule="auto"/>
        <w:ind w:firstLineChars="0"/>
        <w:rPr>
          <w:rFonts w:ascii="宋体" w:hAnsi="宋体"/>
          <w:sz w:val="24"/>
        </w:rPr>
      </w:pPr>
      <w:r w:rsidRPr="00FF2F1D">
        <w:rPr>
          <w:rFonts w:ascii="宋体" w:hAnsi="宋体" w:hint="eastAsia"/>
          <w:sz w:val="24"/>
        </w:rPr>
        <w:t>问答题（约3</w:t>
      </w:r>
      <w:r w:rsidRPr="00FF2F1D">
        <w:rPr>
          <w:rFonts w:ascii="宋体" w:hAnsi="宋体"/>
          <w:sz w:val="24"/>
        </w:rPr>
        <w:t>0</w:t>
      </w:r>
      <w:r w:rsidRPr="00FF2F1D">
        <w:rPr>
          <w:rFonts w:ascii="宋体" w:hAnsi="宋体" w:hint="eastAsia"/>
          <w:sz w:val="24"/>
        </w:rPr>
        <w:t>%）；</w:t>
      </w:r>
    </w:p>
    <w:p w14:paraId="2155EF96" w14:textId="77777777" w:rsidR="00CE21E4" w:rsidRPr="00FF2F1D" w:rsidRDefault="00FF2F1D" w:rsidP="00FF2F1D">
      <w:pPr>
        <w:pStyle w:val="a8"/>
        <w:numPr>
          <w:ilvl w:val="0"/>
          <w:numId w:val="2"/>
        </w:numPr>
        <w:spacing w:line="360" w:lineRule="auto"/>
        <w:ind w:firstLineChars="0"/>
        <w:rPr>
          <w:rFonts w:ascii="宋体" w:hAnsi="宋体"/>
          <w:sz w:val="24"/>
        </w:rPr>
      </w:pPr>
      <w:r w:rsidRPr="00FF2F1D">
        <w:rPr>
          <w:rFonts w:ascii="宋体" w:hAnsi="宋体" w:hint="eastAsia"/>
          <w:sz w:val="24"/>
        </w:rPr>
        <w:t>计算题（约3</w:t>
      </w:r>
      <w:r w:rsidRPr="00FF2F1D">
        <w:rPr>
          <w:rFonts w:ascii="宋体" w:hAnsi="宋体"/>
          <w:sz w:val="24"/>
        </w:rPr>
        <w:t>0</w:t>
      </w:r>
      <w:r w:rsidRPr="00FF2F1D">
        <w:rPr>
          <w:rFonts w:ascii="宋体" w:hAnsi="宋体" w:hint="eastAsia"/>
          <w:sz w:val="24"/>
        </w:rPr>
        <w:t>%）；</w:t>
      </w:r>
    </w:p>
    <w:p w14:paraId="78D50FF3" w14:textId="77777777" w:rsidR="00CE21E4" w:rsidRPr="00FF2F1D" w:rsidRDefault="00FF2F1D" w:rsidP="00FF2F1D">
      <w:pPr>
        <w:spacing w:line="360" w:lineRule="auto"/>
        <w:ind w:firstLineChars="175" w:firstLine="420"/>
        <w:rPr>
          <w:rFonts w:ascii="宋体" w:hAnsi="宋体"/>
          <w:sz w:val="24"/>
        </w:rPr>
      </w:pPr>
      <w:r w:rsidRPr="00FF2F1D">
        <w:rPr>
          <w:rFonts w:ascii="宋体" w:hAnsi="宋体"/>
          <w:sz w:val="24"/>
        </w:rPr>
        <w:t>4</w:t>
      </w:r>
      <w:r w:rsidRPr="00FF2F1D">
        <w:rPr>
          <w:rFonts w:ascii="宋体" w:hAnsi="宋体" w:hint="eastAsia"/>
          <w:sz w:val="24"/>
        </w:rPr>
        <w:t>、论述题（约2</w:t>
      </w:r>
      <w:r w:rsidRPr="00FF2F1D">
        <w:rPr>
          <w:rFonts w:ascii="宋体" w:hAnsi="宋体"/>
          <w:sz w:val="24"/>
        </w:rPr>
        <w:t>0</w:t>
      </w:r>
      <w:r w:rsidRPr="00FF2F1D">
        <w:rPr>
          <w:rFonts w:ascii="宋体" w:hAnsi="宋体" w:hint="eastAsia"/>
          <w:sz w:val="24"/>
        </w:rPr>
        <w:t>%）。</w:t>
      </w:r>
    </w:p>
    <w:p w14:paraId="20D1E1E7" w14:textId="77777777" w:rsidR="00CE21E4" w:rsidRDefault="00FF2F1D" w:rsidP="00FF2F1D">
      <w:pPr>
        <w:spacing w:line="360" w:lineRule="auto"/>
        <w:rPr>
          <w:rFonts w:ascii="宋体" w:hAnsi="宋体"/>
          <w:b/>
          <w:bCs/>
          <w:sz w:val="24"/>
        </w:rPr>
      </w:pPr>
      <w:r>
        <w:rPr>
          <w:rFonts w:ascii="宋体" w:hAnsi="宋体" w:hint="eastAsia"/>
          <w:b/>
          <w:bCs/>
          <w:sz w:val="24"/>
        </w:rPr>
        <w:t>四、考试形式及时间</w:t>
      </w:r>
    </w:p>
    <w:p w14:paraId="2ED421E0" w14:textId="77777777" w:rsidR="00CE21E4" w:rsidRDefault="00FF2F1D" w:rsidP="00FF2F1D">
      <w:pPr>
        <w:spacing w:line="360" w:lineRule="auto"/>
        <w:ind w:firstLineChars="200" w:firstLine="480"/>
        <w:rPr>
          <w:rFonts w:ascii="宋体" w:hAnsi="宋体"/>
          <w:sz w:val="24"/>
        </w:rPr>
      </w:pPr>
      <w:r>
        <w:rPr>
          <w:rFonts w:ascii="宋体" w:hAnsi="宋体" w:hint="eastAsia"/>
          <w:sz w:val="24"/>
        </w:rPr>
        <w:t>考试形式为笔试，考试时间为三小时（满分150分）。</w:t>
      </w:r>
    </w:p>
    <w:p w14:paraId="1B2468BE" w14:textId="77777777" w:rsidR="00CE21E4" w:rsidRDefault="00FF2F1D" w:rsidP="00FF2F1D">
      <w:pPr>
        <w:spacing w:line="360" w:lineRule="auto"/>
        <w:rPr>
          <w:rFonts w:ascii="宋体" w:hAnsi="宋体"/>
          <w:b/>
          <w:bCs/>
          <w:sz w:val="24"/>
        </w:rPr>
      </w:pPr>
      <w:r>
        <w:rPr>
          <w:rFonts w:ascii="宋体" w:hAnsi="宋体" w:hint="eastAsia"/>
          <w:b/>
          <w:bCs/>
          <w:sz w:val="24"/>
        </w:rPr>
        <w:t>五、主要参考教材（参考书目）</w:t>
      </w:r>
    </w:p>
    <w:p w14:paraId="5ED2F6BF" w14:textId="77777777" w:rsidR="00FF2F1D" w:rsidRDefault="00FF2F1D" w:rsidP="00FF2F1D">
      <w:pPr>
        <w:spacing w:line="360" w:lineRule="auto"/>
        <w:ind w:leftChars="100" w:left="210" w:firstLineChars="100" w:firstLine="240"/>
        <w:rPr>
          <w:rFonts w:ascii="宋体" w:hAnsi="宋体"/>
          <w:sz w:val="24"/>
        </w:rPr>
      </w:pPr>
      <w:r>
        <w:rPr>
          <w:rFonts w:ascii="宋体" w:hAnsi="宋体" w:hint="eastAsia"/>
          <w:sz w:val="24"/>
        </w:rPr>
        <w:t>1.西方经济学，《西方经济学》编写组编写（马克思主义理论研究和建设工</w:t>
      </w:r>
    </w:p>
    <w:p w14:paraId="5E50E04A" w14:textId="77777777" w:rsidR="00CE21E4" w:rsidRDefault="00FF2F1D" w:rsidP="00FF2F1D">
      <w:pPr>
        <w:spacing w:line="360" w:lineRule="auto"/>
        <w:rPr>
          <w:rFonts w:ascii="宋体" w:hAnsi="宋体"/>
          <w:sz w:val="24"/>
        </w:rPr>
      </w:pPr>
      <w:proofErr w:type="gramStart"/>
      <w:r>
        <w:rPr>
          <w:rFonts w:ascii="宋体" w:hAnsi="宋体" w:hint="eastAsia"/>
          <w:sz w:val="24"/>
        </w:rPr>
        <w:t>程重点</w:t>
      </w:r>
      <w:proofErr w:type="gramEnd"/>
      <w:r>
        <w:rPr>
          <w:rFonts w:ascii="宋体" w:hAnsi="宋体" w:hint="eastAsia"/>
          <w:sz w:val="24"/>
        </w:rPr>
        <w:t>教材），高等教育出版社、人民出版社，2019年9月，第二版。</w:t>
      </w:r>
    </w:p>
    <w:p w14:paraId="5FB96E18" w14:textId="77777777" w:rsidR="00FF2F1D" w:rsidRDefault="00FF2F1D" w:rsidP="00FF2F1D">
      <w:pPr>
        <w:spacing w:line="360" w:lineRule="auto"/>
        <w:ind w:leftChars="100" w:left="210" w:firstLineChars="100" w:firstLine="240"/>
        <w:rPr>
          <w:rFonts w:ascii="宋体" w:hAnsi="宋体"/>
          <w:sz w:val="24"/>
        </w:rPr>
      </w:pPr>
      <w:r>
        <w:rPr>
          <w:rFonts w:ascii="宋体" w:hAnsi="宋体" w:hint="eastAsia"/>
          <w:sz w:val="24"/>
        </w:rPr>
        <w:t>2.《西方经济学（第二版）》习题与解答，吴汉洪主编，高等教育出版社，</w:t>
      </w:r>
    </w:p>
    <w:p w14:paraId="67C1682E" w14:textId="77777777" w:rsidR="00CE21E4" w:rsidRDefault="00FF2F1D" w:rsidP="00FF2F1D">
      <w:pPr>
        <w:spacing w:line="360" w:lineRule="auto"/>
        <w:rPr>
          <w:rFonts w:ascii="宋体" w:hAnsi="宋体"/>
          <w:sz w:val="24"/>
          <w:highlight w:val="yellow"/>
        </w:rPr>
      </w:pPr>
      <w:r>
        <w:rPr>
          <w:rFonts w:ascii="宋体" w:hAnsi="宋体" w:hint="eastAsia"/>
          <w:sz w:val="24"/>
        </w:rPr>
        <w:t>2020年6月。</w:t>
      </w:r>
    </w:p>
    <w:sectPr w:rsidR="00CE21E4" w:rsidSect="00D14D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FBBD7" w14:textId="77777777" w:rsidR="008D7105" w:rsidRDefault="008D7105" w:rsidP="00684A62">
      <w:r>
        <w:separator/>
      </w:r>
    </w:p>
  </w:endnote>
  <w:endnote w:type="continuationSeparator" w:id="0">
    <w:p w14:paraId="24AC2FA4" w14:textId="77777777" w:rsidR="008D7105" w:rsidRDefault="008D7105" w:rsidP="00684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6E25A" w14:textId="77777777" w:rsidR="008D7105" w:rsidRDefault="008D7105" w:rsidP="00684A62">
      <w:r>
        <w:separator/>
      </w:r>
    </w:p>
  </w:footnote>
  <w:footnote w:type="continuationSeparator" w:id="0">
    <w:p w14:paraId="33D6031F" w14:textId="77777777" w:rsidR="008D7105" w:rsidRDefault="008D7105" w:rsidP="00684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123B"/>
    <w:multiLevelType w:val="multilevel"/>
    <w:tmpl w:val="03D4123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FE27EF9"/>
    <w:multiLevelType w:val="hybridMultilevel"/>
    <w:tmpl w:val="854A0686"/>
    <w:lvl w:ilvl="0" w:tplc="8E0A7B0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2610A"/>
    <w:rsid w:val="000010D8"/>
    <w:rsid w:val="00015752"/>
    <w:rsid w:val="000250F9"/>
    <w:rsid w:val="000619C4"/>
    <w:rsid w:val="00070D86"/>
    <w:rsid w:val="000843B3"/>
    <w:rsid w:val="000D23CE"/>
    <w:rsid w:val="00106687"/>
    <w:rsid w:val="00113346"/>
    <w:rsid w:val="00121877"/>
    <w:rsid w:val="00130C34"/>
    <w:rsid w:val="00161049"/>
    <w:rsid w:val="001646E0"/>
    <w:rsid w:val="00170D68"/>
    <w:rsid w:val="00173762"/>
    <w:rsid w:val="001828FB"/>
    <w:rsid w:val="00192EA5"/>
    <w:rsid w:val="00193364"/>
    <w:rsid w:val="001B23DF"/>
    <w:rsid w:val="001C7D4F"/>
    <w:rsid w:val="001D4936"/>
    <w:rsid w:val="001E1625"/>
    <w:rsid w:val="001F54B2"/>
    <w:rsid w:val="00213EC4"/>
    <w:rsid w:val="0022610A"/>
    <w:rsid w:val="00257C74"/>
    <w:rsid w:val="002679A6"/>
    <w:rsid w:val="0027668F"/>
    <w:rsid w:val="00290620"/>
    <w:rsid w:val="00294A96"/>
    <w:rsid w:val="002C386D"/>
    <w:rsid w:val="002C6A35"/>
    <w:rsid w:val="00313CFB"/>
    <w:rsid w:val="003140F2"/>
    <w:rsid w:val="00317230"/>
    <w:rsid w:val="0033767F"/>
    <w:rsid w:val="00342204"/>
    <w:rsid w:val="00355414"/>
    <w:rsid w:val="00376C93"/>
    <w:rsid w:val="00384545"/>
    <w:rsid w:val="00394277"/>
    <w:rsid w:val="00394866"/>
    <w:rsid w:val="003C1B61"/>
    <w:rsid w:val="003C2A33"/>
    <w:rsid w:val="00403615"/>
    <w:rsid w:val="004069F2"/>
    <w:rsid w:val="00407D74"/>
    <w:rsid w:val="00441191"/>
    <w:rsid w:val="00454C91"/>
    <w:rsid w:val="00484EA8"/>
    <w:rsid w:val="004952C6"/>
    <w:rsid w:val="00495455"/>
    <w:rsid w:val="004A64ED"/>
    <w:rsid w:val="004A66D4"/>
    <w:rsid w:val="004F0328"/>
    <w:rsid w:val="005154D1"/>
    <w:rsid w:val="0051712F"/>
    <w:rsid w:val="00522FA5"/>
    <w:rsid w:val="00534A73"/>
    <w:rsid w:val="0053660C"/>
    <w:rsid w:val="005A0E48"/>
    <w:rsid w:val="005D01A4"/>
    <w:rsid w:val="00643E30"/>
    <w:rsid w:val="00653826"/>
    <w:rsid w:val="006542B9"/>
    <w:rsid w:val="006710E4"/>
    <w:rsid w:val="00672C34"/>
    <w:rsid w:val="00684A62"/>
    <w:rsid w:val="00693102"/>
    <w:rsid w:val="006A1F86"/>
    <w:rsid w:val="006B00C9"/>
    <w:rsid w:val="006C4B67"/>
    <w:rsid w:val="006C598C"/>
    <w:rsid w:val="006D1D1F"/>
    <w:rsid w:val="006E2924"/>
    <w:rsid w:val="006E460B"/>
    <w:rsid w:val="006E531E"/>
    <w:rsid w:val="006E748E"/>
    <w:rsid w:val="006F4922"/>
    <w:rsid w:val="006F7FC6"/>
    <w:rsid w:val="0071428E"/>
    <w:rsid w:val="0072339D"/>
    <w:rsid w:val="007310FF"/>
    <w:rsid w:val="00752750"/>
    <w:rsid w:val="00766D8C"/>
    <w:rsid w:val="007768A7"/>
    <w:rsid w:val="00797644"/>
    <w:rsid w:val="007B5CE3"/>
    <w:rsid w:val="007C3284"/>
    <w:rsid w:val="007C7FAC"/>
    <w:rsid w:val="007E4A93"/>
    <w:rsid w:val="00806919"/>
    <w:rsid w:val="00810F6E"/>
    <w:rsid w:val="00860CE1"/>
    <w:rsid w:val="00876355"/>
    <w:rsid w:val="00883F16"/>
    <w:rsid w:val="008841E5"/>
    <w:rsid w:val="00887402"/>
    <w:rsid w:val="00891303"/>
    <w:rsid w:val="008A1E60"/>
    <w:rsid w:val="008C1266"/>
    <w:rsid w:val="008D7105"/>
    <w:rsid w:val="008E2068"/>
    <w:rsid w:val="008E434B"/>
    <w:rsid w:val="009215AA"/>
    <w:rsid w:val="00936233"/>
    <w:rsid w:val="00945C4A"/>
    <w:rsid w:val="00981620"/>
    <w:rsid w:val="009C2FD0"/>
    <w:rsid w:val="009D6D66"/>
    <w:rsid w:val="009E1A1B"/>
    <w:rsid w:val="00A2635D"/>
    <w:rsid w:val="00A27559"/>
    <w:rsid w:val="00A338B5"/>
    <w:rsid w:val="00A543AB"/>
    <w:rsid w:val="00A544D5"/>
    <w:rsid w:val="00A65689"/>
    <w:rsid w:val="00A86CFA"/>
    <w:rsid w:val="00A92481"/>
    <w:rsid w:val="00AA20DF"/>
    <w:rsid w:val="00AC7DA4"/>
    <w:rsid w:val="00AF0599"/>
    <w:rsid w:val="00B04120"/>
    <w:rsid w:val="00B10781"/>
    <w:rsid w:val="00B12756"/>
    <w:rsid w:val="00B451F5"/>
    <w:rsid w:val="00B57144"/>
    <w:rsid w:val="00B8359B"/>
    <w:rsid w:val="00B957D6"/>
    <w:rsid w:val="00BA0E4D"/>
    <w:rsid w:val="00BC4C5C"/>
    <w:rsid w:val="00BC5256"/>
    <w:rsid w:val="00C229AD"/>
    <w:rsid w:val="00C24E86"/>
    <w:rsid w:val="00C3418F"/>
    <w:rsid w:val="00C52F6D"/>
    <w:rsid w:val="00C84935"/>
    <w:rsid w:val="00CB15AB"/>
    <w:rsid w:val="00CC64AD"/>
    <w:rsid w:val="00CD7EE5"/>
    <w:rsid w:val="00CE21E4"/>
    <w:rsid w:val="00CE7733"/>
    <w:rsid w:val="00D10DBB"/>
    <w:rsid w:val="00D14D62"/>
    <w:rsid w:val="00D2317D"/>
    <w:rsid w:val="00D43ECD"/>
    <w:rsid w:val="00D447A0"/>
    <w:rsid w:val="00D5466C"/>
    <w:rsid w:val="00D60853"/>
    <w:rsid w:val="00D62543"/>
    <w:rsid w:val="00D6517E"/>
    <w:rsid w:val="00D91114"/>
    <w:rsid w:val="00D9433C"/>
    <w:rsid w:val="00DA483D"/>
    <w:rsid w:val="00DC7746"/>
    <w:rsid w:val="00DE0D42"/>
    <w:rsid w:val="00DE64BB"/>
    <w:rsid w:val="00DE7F8C"/>
    <w:rsid w:val="00E012A8"/>
    <w:rsid w:val="00E12DE7"/>
    <w:rsid w:val="00E26A83"/>
    <w:rsid w:val="00E33A22"/>
    <w:rsid w:val="00E80DA9"/>
    <w:rsid w:val="00E8433B"/>
    <w:rsid w:val="00EB7D82"/>
    <w:rsid w:val="00F10166"/>
    <w:rsid w:val="00F11295"/>
    <w:rsid w:val="00F13AA0"/>
    <w:rsid w:val="00F14576"/>
    <w:rsid w:val="00F31303"/>
    <w:rsid w:val="00F36920"/>
    <w:rsid w:val="00F46C9F"/>
    <w:rsid w:val="00F530B2"/>
    <w:rsid w:val="00F55088"/>
    <w:rsid w:val="00F650A4"/>
    <w:rsid w:val="00F65B31"/>
    <w:rsid w:val="00F77F19"/>
    <w:rsid w:val="00F84841"/>
    <w:rsid w:val="00F9401B"/>
    <w:rsid w:val="00F943D1"/>
    <w:rsid w:val="00FA0046"/>
    <w:rsid w:val="00FA28F8"/>
    <w:rsid w:val="00FA2D82"/>
    <w:rsid w:val="00FA7203"/>
    <w:rsid w:val="00FB047B"/>
    <w:rsid w:val="00FB1D6E"/>
    <w:rsid w:val="00FE32D8"/>
    <w:rsid w:val="00FE665B"/>
    <w:rsid w:val="00FF2CA1"/>
    <w:rsid w:val="00FF2F1D"/>
    <w:rsid w:val="00FF418F"/>
    <w:rsid w:val="00FF63BF"/>
    <w:rsid w:val="010B447D"/>
    <w:rsid w:val="01B62FCB"/>
    <w:rsid w:val="01B771F4"/>
    <w:rsid w:val="01D62601"/>
    <w:rsid w:val="031C16A3"/>
    <w:rsid w:val="047D04D5"/>
    <w:rsid w:val="062D3EE5"/>
    <w:rsid w:val="068B5771"/>
    <w:rsid w:val="078D4D25"/>
    <w:rsid w:val="07A220B9"/>
    <w:rsid w:val="07FE5C44"/>
    <w:rsid w:val="0885478E"/>
    <w:rsid w:val="08D337DC"/>
    <w:rsid w:val="09EC10C1"/>
    <w:rsid w:val="0A29634E"/>
    <w:rsid w:val="0ADF3169"/>
    <w:rsid w:val="0AE60876"/>
    <w:rsid w:val="0B9D1C9A"/>
    <w:rsid w:val="0C071A88"/>
    <w:rsid w:val="0C131EA2"/>
    <w:rsid w:val="0CD83DCA"/>
    <w:rsid w:val="0E2E4DB1"/>
    <w:rsid w:val="1021362F"/>
    <w:rsid w:val="123225CE"/>
    <w:rsid w:val="147839D3"/>
    <w:rsid w:val="1485685C"/>
    <w:rsid w:val="15A44282"/>
    <w:rsid w:val="16591518"/>
    <w:rsid w:val="16A612B8"/>
    <w:rsid w:val="16BD5863"/>
    <w:rsid w:val="192F70D0"/>
    <w:rsid w:val="19473F2A"/>
    <w:rsid w:val="1AB809B2"/>
    <w:rsid w:val="1ABD42EE"/>
    <w:rsid w:val="1C74211D"/>
    <w:rsid w:val="1CCF5BF3"/>
    <w:rsid w:val="1D722B9C"/>
    <w:rsid w:val="1DCF256F"/>
    <w:rsid w:val="1F3C2DBA"/>
    <w:rsid w:val="20CF3B10"/>
    <w:rsid w:val="21605655"/>
    <w:rsid w:val="23DF4654"/>
    <w:rsid w:val="24535CAB"/>
    <w:rsid w:val="26EE309F"/>
    <w:rsid w:val="2790733D"/>
    <w:rsid w:val="27FA7C10"/>
    <w:rsid w:val="281E663F"/>
    <w:rsid w:val="28795760"/>
    <w:rsid w:val="2887577E"/>
    <w:rsid w:val="293D58AD"/>
    <w:rsid w:val="2A7C66D2"/>
    <w:rsid w:val="2A865CB1"/>
    <w:rsid w:val="2B7E3E3C"/>
    <w:rsid w:val="2C9624E0"/>
    <w:rsid w:val="2CBF5F40"/>
    <w:rsid w:val="2D1D1E95"/>
    <w:rsid w:val="2F9C373C"/>
    <w:rsid w:val="30565273"/>
    <w:rsid w:val="30AD3400"/>
    <w:rsid w:val="32DD2079"/>
    <w:rsid w:val="33FA67D2"/>
    <w:rsid w:val="35A51585"/>
    <w:rsid w:val="35DE151D"/>
    <w:rsid w:val="37010A7A"/>
    <w:rsid w:val="379D1751"/>
    <w:rsid w:val="37EF2599"/>
    <w:rsid w:val="381B2E61"/>
    <w:rsid w:val="3974530E"/>
    <w:rsid w:val="3CD653C9"/>
    <w:rsid w:val="3D1C217C"/>
    <w:rsid w:val="3E80109C"/>
    <w:rsid w:val="3E8C70CA"/>
    <w:rsid w:val="3E96673A"/>
    <w:rsid w:val="3F2D5170"/>
    <w:rsid w:val="3FF2406F"/>
    <w:rsid w:val="406D0A61"/>
    <w:rsid w:val="411F13F4"/>
    <w:rsid w:val="41AB5904"/>
    <w:rsid w:val="427F153B"/>
    <w:rsid w:val="42D923F8"/>
    <w:rsid w:val="46A434BD"/>
    <w:rsid w:val="489823FC"/>
    <w:rsid w:val="49244B4A"/>
    <w:rsid w:val="4AC629B3"/>
    <w:rsid w:val="4AFB2840"/>
    <w:rsid w:val="4C9211C7"/>
    <w:rsid w:val="4E7E2AFC"/>
    <w:rsid w:val="4EDF13C2"/>
    <w:rsid w:val="50780B75"/>
    <w:rsid w:val="51942E38"/>
    <w:rsid w:val="543E777A"/>
    <w:rsid w:val="545938B8"/>
    <w:rsid w:val="550F6446"/>
    <w:rsid w:val="55A43CD3"/>
    <w:rsid w:val="56564CBD"/>
    <w:rsid w:val="584E5A5C"/>
    <w:rsid w:val="584F5C3E"/>
    <w:rsid w:val="59130555"/>
    <w:rsid w:val="5A6169AC"/>
    <w:rsid w:val="5B2461FA"/>
    <w:rsid w:val="5BE729A4"/>
    <w:rsid w:val="5C037739"/>
    <w:rsid w:val="5CA443F8"/>
    <w:rsid w:val="5D441E0E"/>
    <w:rsid w:val="5EE814AF"/>
    <w:rsid w:val="605D543E"/>
    <w:rsid w:val="62C66DAE"/>
    <w:rsid w:val="64A342C1"/>
    <w:rsid w:val="64A87A4C"/>
    <w:rsid w:val="66BC52AA"/>
    <w:rsid w:val="66E51B5C"/>
    <w:rsid w:val="67D5312E"/>
    <w:rsid w:val="684B2B70"/>
    <w:rsid w:val="68610514"/>
    <w:rsid w:val="687C6D3F"/>
    <w:rsid w:val="697F6313"/>
    <w:rsid w:val="698D1712"/>
    <w:rsid w:val="698E74D5"/>
    <w:rsid w:val="6A2A2AAB"/>
    <w:rsid w:val="6AA75D4B"/>
    <w:rsid w:val="6B2605A5"/>
    <w:rsid w:val="6BE81529"/>
    <w:rsid w:val="6C5E7847"/>
    <w:rsid w:val="6CC42A6A"/>
    <w:rsid w:val="6E1B0D46"/>
    <w:rsid w:val="6E2A63CB"/>
    <w:rsid w:val="6E6875EB"/>
    <w:rsid w:val="705C013A"/>
    <w:rsid w:val="70C952F5"/>
    <w:rsid w:val="71A76BCC"/>
    <w:rsid w:val="73013BFE"/>
    <w:rsid w:val="74113A63"/>
    <w:rsid w:val="75286D16"/>
    <w:rsid w:val="768075C1"/>
    <w:rsid w:val="77D61E1C"/>
    <w:rsid w:val="77E03394"/>
    <w:rsid w:val="7877656A"/>
    <w:rsid w:val="78B776CB"/>
    <w:rsid w:val="7982484B"/>
    <w:rsid w:val="7995477E"/>
    <w:rsid w:val="79E17209"/>
    <w:rsid w:val="7A3E20FC"/>
    <w:rsid w:val="7B666B75"/>
    <w:rsid w:val="7C361E75"/>
    <w:rsid w:val="7C3910A3"/>
    <w:rsid w:val="7D5044EA"/>
    <w:rsid w:val="7D6C0B13"/>
    <w:rsid w:val="7F5F5EDD"/>
    <w:rsid w:val="7F663A2B"/>
    <w:rsid w:val="7FB674DA"/>
    <w:rsid w:val="7FC075F3"/>
    <w:rsid w:val="7FCE06A3"/>
    <w:rsid w:val="7FD96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301446"/>
  <w15:docId w15:val="{9FB544F7-36AC-465B-94FA-B6516CF8A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D62"/>
    <w:pPr>
      <w:widowControl w:val="0"/>
      <w:jc w:val="both"/>
    </w:pPr>
    <w:rPr>
      <w:kern w:val="2"/>
      <w:sz w:val="21"/>
      <w:szCs w:val="24"/>
    </w:rPr>
  </w:style>
  <w:style w:type="paragraph" w:styleId="2">
    <w:name w:val="heading 2"/>
    <w:basedOn w:val="a"/>
    <w:next w:val="a"/>
    <w:qFormat/>
    <w:rsid w:val="00D14D62"/>
    <w:pPr>
      <w:keepNext/>
      <w:keepLines/>
      <w:spacing w:before="260" w:after="260" w:line="416" w:lineRule="auto"/>
      <w:outlineLvl w:val="1"/>
    </w:pPr>
    <w:rPr>
      <w:rFonts w:ascii="Arial" w:eastAsia="黑体" w:hAnsi="Arial"/>
      <w:b/>
      <w:bCs/>
      <w:sz w:val="32"/>
      <w:szCs w:val="32"/>
    </w:rPr>
  </w:style>
  <w:style w:type="paragraph" w:styleId="3">
    <w:name w:val="heading 3"/>
    <w:basedOn w:val="2"/>
    <w:next w:val="a"/>
    <w:qFormat/>
    <w:rsid w:val="00D14D62"/>
    <w:pPr>
      <w:outlineLvl w:val="2"/>
    </w:pPr>
    <w:rPr>
      <w:rFonts w:ascii="黑体" w:hAnsi="黑体"/>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D14D62"/>
    <w:pPr>
      <w:tabs>
        <w:tab w:val="center" w:pos="4153"/>
        <w:tab w:val="right" w:pos="8306"/>
      </w:tabs>
      <w:snapToGrid w:val="0"/>
      <w:jc w:val="left"/>
    </w:pPr>
    <w:rPr>
      <w:sz w:val="18"/>
      <w:szCs w:val="18"/>
    </w:rPr>
  </w:style>
  <w:style w:type="paragraph" w:styleId="a5">
    <w:name w:val="header"/>
    <w:basedOn w:val="a"/>
    <w:link w:val="a6"/>
    <w:qFormat/>
    <w:rsid w:val="00D14D62"/>
    <w:pPr>
      <w:pBdr>
        <w:bottom w:val="single" w:sz="6" w:space="1" w:color="auto"/>
      </w:pBdr>
      <w:tabs>
        <w:tab w:val="center" w:pos="4153"/>
        <w:tab w:val="right" w:pos="8306"/>
      </w:tabs>
      <w:snapToGrid w:val="0"/>
      <w:jc w:val="center"/>
    </w:pPr>
    <w:rPr>
      <w:sz w:val="18"/>
      <w:szCs w:val="18"/>
    </w:rPr>
  </w:style>
  <w:style w:type="paragraph" w:customStyle="1" w:styleId="1">
    <w:name w:val="样式1"/>
    <w:basedOn w:val="a"/>
    <w:next w:val="a"/>
    <w:qFormat/>
    <w:rsid w:val="00D14D62"/>
    <w:pPr>
      <w:spacing w:before="120" w:after="240"/>
      <w:ind w:firstLineChars="700" w:firstLine="1680"/>
      <w:jc w:val="center"/>
    </w:pPr>
    <w:rPr>
      <w:szCs w:val="21"/>
    </w:rPr>
  </w:style>
  <w:style w:type="paragraph" w:customStyle="1" w:styleId="a7">
    <w:name w:val="表格标题"/>
    <w:basedOn w:val="a"/>
    <w:next w:val="a"/>
    <w:qFormat/>
    <w:rsid w:val="00D14D62"/>
    <w:pPr>
      <w:spacing w:line="400" w:lineRule="exact"/>
      <w:jc w:val="center"/>
    </w:pPr>
    <w:rPr>
      <w:sz w:val="24"/>
    </w:rPr>
  </w:style>
  <w:style w:type="character" w:customStyle="1" w:styleId="a6">
    <w:name w:val="页眉 字符"/>
    <w:link w:val="a5"/>
    <w:qFormat/>
    <w:rsid w:val="00D14D62"/>
    <w:rPr>
      <w:kern w:val="2"/>
      <w:sz w:val="18"/>
      <w:szCs w:val="18"/>
    </w:rPr>
  </w:style>
  <w:style w:type="character" w:customStyle="1" w:styleId="a4">
    <w:name w:val="页脚 字符"/>
    <w:link w:val="a3"/>
    <w:qFormat/>
    <w:rsid w:val="00D14D62"/>
    <w:rPr>
      <w:kern w:val="2"/>
      <w:sz w:val="18"/>
      <w:szCs w:val="18"/>
    </w:rPr>
  </w:style>
  <w:style w:type="paragraph" w:styleId="a8">
    <w:name w:val="List Paragraph"/>
    <w:basedOn w:val="a"/>
    <w:uiPriority w:val="99"/>
    <w:qFormat/>
    <w:rsid w:val="00D14D6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171</Words>
  <Characters>977</Characters>
  <Application>Microsoft Office Word</Application>
  <DocSecurity>0</DocSecurity>
  <Lines>8</Lines>
  <Paragraphs>2</Paragraphs>
  <ScaleCrop>false</ScaleCrop>
  <Company>Microsoft</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天津工业大学全国统考硕士入学考试业务课程大纲</dc:title>
  <dc:creator>User</dc:creator>
  <cp:lastModifiedBy>小波 王</cp:lastModifiedBy>
  <cp:revision>11</cp:revision>
  <dcterms:created xsi:type="dcterms:W3CDTF">2021-03-19T01:17:00Z</dcterms:created>
  <dcterms:modified xsi:type="dcterms:W3CDTF">2024-09-19T01:16:00Z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