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10BF5">
      <w:pPr>
        <w:keepNext/>
        <w:keepLines/>
        <w:spacing w:line="60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24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44"/>
          <w:sz w:val="44"/>
          <w:szCs w:val="24"/>
        </w:rPr>
        <w:t>闽江学院2025级研究生在校期间奖助待遇</w:t>
      </w:r>
      <w:bookmarkEnd w:id="0"/>
    </w:p>
    <w:p w14:paraId="4C747E02">
      <w:pPr>
        <w:ind w:firstLine="632" w:firstLineChars="200"/>
        <w:outlineLvl w:val="1"/>
        <w:rPr>
          <w:rFonts w:ascii="Times New Roman" w:hAnsi="Times New Roman" w:eastAsia="黑体" w:cs="Times New Roman"/>
          <w:sz w:val="32"/>
          <w:szCs w:val="24"/>
        </w:rPr>
      </w:pPr>
    </w:p>
    <w:p w14:paraId="2C130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outlineLvl w:val="1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一、全日制研究生</w:t>
      </w:r>
    </w:p>
    <w:p w14:paraId="703D8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1. 国家奖学金：用于奖励学业成绩特别优秀、科研成果显著、社会公益活动表现突出的研究生，20000元/生。</w:t>
      </w:r>
    </w:p>
    <w:p w14:paraId="02EA3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2. 国家助学金：涵盖所有无固定工资收入的全日制非定向硕士研究生，基本学制内6000元/（生·年）。</w:t>
      </w:r>
    </w:p>
    <w:p w14:paraId="6ED56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3. 闽院奖学金（一年级研究生）：一次性给予所有录取我校的研究生新生，其中一志愿录取研究生12000元，调剂录取研究生10000元。</w:t>
      </w:r>
    </w:p>
    <w:p w14:paraId="0CAB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4. 学业奖学金（二、三年级研究生）：学业奖学金设立一、二、三等奖，一等奖 12000元/（生·年）、二等奖8000元/（生·年）、三等奖4000元/（生·年）。综合素质测评成绩前10%(含10%)评为一等奖，前10%-30%(含 30%)评为二等奖，前30%-90%(含90%)评为三等奖。</w:t>
      </w:r>
    </w:p>
    <w:p w14:paraId="228ED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 xml:space="preserve">5. </w:t>
      </w:r>
      <w:r>
        <w:rPr>
          <w:rFonts w:hint="eastAsia" w:cs="Times New Roman"/>
          <w:sz w:val="32"/>
          <w:szCs w:val="24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三助一辅</w:t>
      </w:r>
      <w:r>
        <w:rPr>
          <w:rFonts w:hint="eastAsia" w:cs="Times New Roman"/>
          <w:sz w:val="32"/>
          <w:szCs w:val="24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岗位津贴：学校将按规定统筹利用科研经费、学费收入、社会捐助等资金，设置研究生“助研”“助教”“助管”和“学生辅导员”岗位，并提供“三助一辅”津贴。</w:t>
      </w:r>
    </w:p>
    <w:p w14:paraId="5D5ED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outlineLvl w:val="1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二、非全日制研究生</w:t>
      </w:r>
    </w:p>
    <w:p w14:paraId="1A6AE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非全日制硕士研究生不享受以上国家奖学金、国家助学金、闽院奖学金、学业奖学金和三助一辅岗位津贴。</w:t>
      </w:r>
      <w:r>
        <w:rPr>
          <w:rFonts w:hint="eastAsia" w:cs="Times New Roman"/>
          <w:sz w:val="32"/>
          <w:szCs w:val="24"/>
          <w:lang w:val="en-US" w:eastAsia="zh-CN"/>
        </w:rPr>
        <w:t>其余奖助金详见《闽江学院2025年工商管理硕士（MBA）招生简章》。</w:t>
      </w:r>
    </w:p>
    <w:p w14:paraId="7E543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以上奖励和资助以具体文件实施为准</w:t>
      </w:r>
      <w:r>
        <w:rPr>
          <w:rFonts w:hint="eastAsia" w:cs="Times New Roman"/>
          <w:sz w:val="32"/>
          <w:szCs w:val="24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YWY4ZWRkZjQ5YTQ1MzVjN2RmMmM1MGNmNzNjYjEifQ=="/>
  </w:docVars>
  <w:rsids>
    <w:rsidRoot w:val="5FBD515C"/>
    <w:rsid w:val="09727E39"/>
    <w:rsid w:val="0A1632FA"/>
    <w:rsid w:val="11364DF9"/>
    <w:rsid w:val="173F4F91"/>
    <w:rsid w:val="22B41814"/>
    <w:rsid w:val="3BEF4641"/>
    <w:rsid w:val="3D19664C"/>
    <w:rsid w:val="3F9C7357"/>
    <w:rsid w:val="5A2F55FE"/>
    <w:rsid w:val="5FBD515C"/>
    <w:rsid w:val="623A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1"/>
    </w:pPr>
    <w:rPr>
      <w:rFonts w:ascii="Times New Roman" w:hAnsi="Times New Roman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ind w:firstLine="2132" w:firstLineChars="200"/>
    </w:pPr>
    <w:rPr>
      <w:rFonts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2024-10-10T06:49:00Z</dcterms:created>
  <dc:creator>研究生处 李cl</dc:creator>
  <cp:lastModifiedBy>研究生处 李cl</cp:lastModifiedBy>
  <dcterms:modified xsi:type="dcterms:W3CDTF">2024-10-10T06:51:51Z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CD0EA419F8C7479CAEFC051260F5CEA4_11</vt:lpwstr>
  </property>
</Properties>
</file>