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温州大学2023年硕士研究生奖助政策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color w:val="000000"/>
          <w:kern w:val="2"/>
          <w:sz w:val="32"/>
          <w:szCs w:val="32"/>
          <w:lang w:val="en-US" w:eastAsia="zh-CN" w:bidi="ar-SA"/>
        </w:rPr>
        <w:t>1、全日制硕士研究生招生奖助政策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705"/>
        <w:jc w:val="both"/>
        <w:textAlignment w:val="auto"/>
        <w:rPr>
          <w:rFonts w:hint="eastAsia" w:ascii="仿宋_GB2312" w:hAnsi="仿宋" w:eastAsia="仿宋_GB2312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Calibri"/>
          <w:color w:val="000000"/>
          <w:kern w:val="2"/>
          <w:sz w:val="32"/>
          <w:szCs w:val="32"/>
          <w:lang w:val="en-US" w:eastAsia="zh-CN" w:bidi="ar-SA"/>
        </w:rPr>
        <w:t>新入学的全日制非定向硕士研究生，文科类研究生每年可获得奖助学金不少于14500元，理工科研究生每年不少于17000元。每年获得奖助学金最高的可超过48000元。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" w:eastAsia="仿宋_GB2312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Calibri"/>
          <w:color w:val="000000"/>
          <w:kern w:val="2"/>
          <w:sz w:val="32"/>
          <w:szCs w:val="32"/>
          <w:lang w:val="en-US" w:eastAsia="zh-CN" w:bidi="ar-SA"/>
        </w:rPr>
        <w:t>学校为全日制（非定向）硕士研究生提供每人至少不低于8000元/年的学业奖学金。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Calibri"/>
          <w:color w:val="000000"/>
          <w:kern w:val="2"/>
          <w:sz w:val="32"/>
          <w:szCs w:val="32"/>
          <w:lang w:val="en-US" w:eastAsia="zh-CN" w:bidi="ar-SA"/>
        </w:rPr>
        <w:t>奖助政策包括奖助体系、科研创新奖励和国内外交流资助。具体奖励（资助）额度和获奖（资助）比例如下：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Calibri"/>
          <w:color w:val="000000"/>
          <w:kern w:val="2"/>
          <w:sz w:val="32"/>
          <w:szCs w:val="32"/>
          <w:lang w:val="en-US" w:eastAsia="zh-CN" w:bidi="ar-SA"/>
        </w:rPr>
        <w:t>（1）研究生奖助体系</w:t>
      </w:r>
    </w:p>
    <w:tbl>
      <w:tblPr>
        <w:tblStyle w:val="3"/>
        <w:tblW w:w="79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511"/>
        <w:gridCol w:w="1011"/>
        <w:gridCol w:w="686"/>
        <w:gridCol w:w="689"/>
        <w:gridCol w:w="3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5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奖励/资助等级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13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比例/数量</w:t>
            </w:r>
          </w:p>
        </w:tc>
        <w:tc>
          <w:tcPr>
            <w:tcW w:w="3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</w:trPr>
        <w:tc>
          <w:tcPr>
            <w:tcW w:w="79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①奖学体系：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国家奖学金</w:t>
            </w:r>
          </w:p>
        </w:tc>
        <w:tc>
          <w:tcPr>
            <w:tcW w:w="15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20000元/生·年</w:t>
            </w:r>
          </w:p>
        </w:tc>
        <w:tc>
          <w:tcPr>
            <w:tcW w:w="47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根据省教育厅规定3%左右，</w:t>
            </w:r>
            <w:r>
              <w:rPr>
                <w:rFonts w:ascii="Calibri" w:hAnsi="Calibri" w:eastAsia="宋体" w:cs="Times New Roman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国家奖学金与其它校内奖学金不兼得。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tblCellSpacing w:w="0" w:type="dxa"/>
        </w:trPr>
        <w:tc>
          <w:tcPr>
            <w:tcW w:w="16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新生学业奖学金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12000元/年</w:t>
            </w:r>
          </w:p>
        </w:tc>
        <w:tc>
          <w:tcPr>
            <w:tcW w:w="137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（面向具有中国国籍、全日制、非定向研究生）</w:t>
            </w:r>
          </w:p>
        </w:tc>
        <w:tc>
          <w:tcPr>
            <w:tcW w:w="3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一志愿报考我校并被录取的研究生。（含推免生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4" w:hRule="atLeast"/>
          <w:tblCellSpacing w:w="0" w:type="dxa"/>
        </w:trPr>
        <w:tc>
          <w:tcPr>
            <w:tcW w:w="16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8000元/年</w:t>
            </w:r>
          </w:p>
        </w:tc>
        <w:tc>
          <w:tcPr>
            <w:tcW w:w="13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奖励未获得一等奖的研究生新生。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tblCellSpacing w:w="0" w:type="dxa"/>
        </w:trPr>
        <w:tc>
          <w:tcPr>
            <w:tcW w:w="16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二、三年级综合学业奖学金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12000元/年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20%</w:t>
            </w:r>
          </w:p>
        </w:tc>
        <w:tc>
          <w:tcPr>
            <w:tcW w:w="33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面向具有中国国籍、全日制、非定向研究生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  <w:tblCellSpacing w:w="0" w:type="dxa"/>
        </w:trPr>
        <w:tc>
          <w:tcPr>
            <w:tcW w:w="16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10000元/年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20%</w:t>
            </w:r>
          </w:p>
        </w:tc>
        <w:tc>
          <w:tcPr>
            <w:tcW w:w="33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tblCellSpacing w:w="0" w:type="dxa"/>
        </w:trPr>
        <w:tc>
          <w:tcPr>
            <w:tcW w:w="16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三等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8000元/年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60%</w:t>
            </w:r>
          </w:p>
        </w:tc>
        <w:tc>
          <w:tcPr>
            <w:tcW w:w="33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谷超豪奖学金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5000元/人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根据学校文件执行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陈国同奖学金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3000元/人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根据学校文件执行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优秀毕业生奖学金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1000元/人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15%</w:t>
            </w:r>
          </w:p>
        </w:tc>
        <w:tc>
          <w:tcPr>
            <w:tcW w:w="3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奖励品学兼优，业绩突出的优秀硕士毕业生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学术新锐奖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1000元/人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若干人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奖励在学术科研创新方面有突出表现的研究生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168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升学奖励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2000元/人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被国（境）外名校（按照上海交通大学世界大学排名当年排名前100位）、985高校、被国内入选教育部“一流大学”和一流学科的建设高校、中国科学院、中国社会科学院、中央党校录取为博士研究生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168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1000元/人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被国（境）内外其他高校和研究机构录取为博士研究生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tblCellSpacing w:w="0" w:type="dxa"/>
        </w:trPr>
        <w:tc>
          <w:tcPr>
            <w:tcW w:w="79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②助学体系：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8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国家助学金</w:t>
            </w:r>
          </w:p>
        </w:tc>
        <w:tc>
          <w:tcPr>
            <w:tcW w:w="15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6000元/生·年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100%</w:t>
            </w:r>
          </w:p>
        </w:tc>
        <w:tc>
          <w:tcPr>
            <w:tcW w:w="40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1、研究生国家助学金按照每年10个月按月发放，硕士研究生每人每月600元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2、具有中国国籍、全日制、非定向研究生（有固定工资收入的除外）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困难补助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最高5000元/生·次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若干人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三助岗位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600-800元/生·月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不超过10%</w:t>
            </w:r>
          </w:p>
        </w:tc>
        <w:tc>
          <w:tcPr>
            <w:tcW w:w="3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助管、助研、助教岗位，学生自助申请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16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助学贷款</w:t>
            </w:r>
          </w:p>
        </w:tc>
        <w:tc>
          <w:tcPr>
            <w:tcW w:w="62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按照国家政策，实施生源地贷款，确保经济困难研究生顺利入学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Calibri"/>
          <w:color w:val="000000"/>
          <w:kern w:val="2"/>
          <w:sz w:val="32"/>
          <w:szCs w:val="32"/>
          <w:lang w:val="en-US" w:eastAsia="zh-CN" w:bidi="ar-SA"/>
        </w:rPr>
        <w:t>（2）研究生科研项目和创新奖励 </w:t>
      </w:r>
    </w:p>
    <w:tbl>
      <w:tblPr>
        <w:tblStyle w:val="3"/>
        <w:tblW w:w="784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155"/>
        <w:gridCol w:w="1635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奖励/资助等级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3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6" w:hRule="atLeast"/>
          <w:tblCellSpacing w:w="0" w:type="dxa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kern w:val="0"/>
                <w:sz w:val="28"/>
                <w:szCs w:val="28"/>
                <w:lang w:val="en-US" w:eastAsia="zh-CN" w:bidi="ar"/>
              </w:rPr>
              <w:t>教育厅项目（工程硕士专项）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0"/>
                <w:kern w:val="0"/>
                <w:sz w:val="28"/>
                <w:szCs w:val="28"/>
                <w:lang w:val="en-US" w:eastAsia="zh-CN" w:bidi="ar"/>
              </w:rPr>
              <w:t>5000元/项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0"/>
                <w:kern w:val="0"/>
                <w:sz w:val="28"/>
                <w:szCs w:val="28"/>
                <w:lang w:val="en-US" w:eastAsia="zh-CN" w:bidi="ar"/>
              </w:rPr>
              <w:t>根据教育厅文件规定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  <w:tblCellSpacing w:w="0" w:type="dxa"/>
        </w:trPr>
        <w:tc>
          <w:tcPr>
            <w:tcW w:w="1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研究创新基金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文科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3000元/项</w:t>
            </w:r>
          </w:p>
        </w:tc>
        <w:tc>
          <w:tcPr>
            <w:tcW w:w="39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按照学科类别分为理工科项目和人文社科项目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  <w:tblCellSpacing w:w="0" w:type="dxa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理工科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5000元/项</w:t>
            </w:r>
          </w:p>
        </w:tc>
        <w:tc>
          <w:tcPr>
            <w:tcW w:w="39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0" w:type="dxa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“省新苗人才计划”项目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10000元/项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根据团省委规定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0" w:hRule="atLeast"/>
          <w:tblCellSpacing w:w="0" w:type="dxa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研究生科研奖励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根据学术论文、专利、著作、获奖等等级赋分，奖励100元/分，等级认定根据学校相关文件执行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Calibri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Calibri"/>
          <w:color w:val="000000"/>
          <w:kern w:val="2"/>
          <w:sz w:val="32"/>
          <w:szCs w:val="32"/>
          <w:lang w:val="en-US" w:eastAsia="zh-CN" w:bidi="ar-SA"/>
        </w:rPr>
        <w:t>（3）研究生海内外交流与社会实践</w:t>
      </w:r>
    </w:p>
    <w:tbl>
      <w:tblPr>
        <w:tblStyle w:val="3"/>
        <w:tblW w:w="783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2685"/>
        <w:gridCol w:w="3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0" w:type="dxa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资助经费（元）</w:t>
            </w:r>
          </w:p>
        </w:tc>
        <w:tc>
          <w:tcPr>
            <w:tcW w:w="3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FCECE"/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CellSpacing w:w="0" w:type="dxa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海外交流学习项目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根据学校文件规定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国内会议补助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500元/人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每位研究生在学期间只能接受一次资助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right="0"/>
        <w:jc w:val="left"/>
        <w:textAlignment w:val="auto"/>
        <w:rPr>
          <w:rFonts w:hint="eastAsia" w:ascii="黑体" w:hAnsi="黑体" w:eastAsia="黑体" w:cs="Calibr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color w:val="000000"/>
          <w:kern w:val="2"/>
          <w:sz w:val="32"/>
          <w:szCs w:val="32"/>
          <w:lang w:val="en-US" w:eastAsia="zh-CN" w:bidi="ar-SA"/>
        </w:rPr>
        <w:t>2、非全日制硕士研究生招生奖助政策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sz w:val="32"/>
          <w:szCs w:val="32"/>
          <w:lang w:val="en-US" w:eastAsia="zh-CN"/>
        </w:rPr>
        <w:t>上述奖助政策中，除学业奖学金（新生奖学金、学业综合奖学金）、国家助学金、助研津贴以外的奖助体系、科研创新奖励和国内外交流资助，非全日制研究生原则上均可以享受。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600" w:lineRule="exact"/>
        <w:ind w:left="0" w:right="0" w:firstLine="705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alibri" w:hAnsi="Calibri" w:eastAsia="宋体" w:cs="Times New Roma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jdkYTIzNmY4YzFkYjgxOWE5YWJiMjNkMTNjN2MifQ=="/>
  </w:docVars>
  <w:rsids>
    <w:rsidRoot w:val="00000000"/>
    <w:rsid w:val="28D3513D"/>
    <w:rsid w:val="5482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1104</Words>
  <Characters>1215</Characters>
  <Lines>0</Lines>
  <Paragraphs>0</Paragraphs>
  <TotalTime>0</TotalTime>
  <ScaleCrop>false</ScaleCrop>
  <LinksUpToDate>false</LinksUpToDate>
  <CharactersWithSpaces>1217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2022-09-15T01:22:00Z</dcterms:created>
  <cp:lastModifiedBy> </cp:lastModifiedBy>
  <dcterms:modified xsi:type="dcterms:W3CDTF">2022-09-15T02:00:29Z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2C5E207BE7934DD7A64BEC403079D2FF</vt:lpwstr>
  </property>
</Properties>
</file>