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1D9D5" w14:textId="2B1BC0F0" w:rsidR="00B36F18" w:rsidRPr="00B36F18" w:rsidRDefault="00B36F18" w:rsidP="009C4488">
      <w:pPr>
        <w:widowControl/>
        <w:spacing w:before="100" w:beforeAutospacing="1" w:after="100" w:afterAutospacing="1"/>
        <w:ind w:firstLineChars="200" w:firstLine="542"/>
        <w:jc w:val="left"/>
        <w:outlineLvl w:val="2"/>
        <w:rPr>
          <w:rFonts w:ascii="宋体" w:eastAsia="宋体" w:hAnsi="宋体" w:cs="宋体"/>
          <w:b/>
          <w:bCs/>
          <w:kern w:val="0"/>
          <w:sz w:val="27"/>
          <w:szCs w:val="27"/>
        </w:rPr>
      </w:pPr>
      <w:r w:rsidRPr="00B36F18">
        <w:rPr>
          <w:rFonts w:ascii="宋体" w:eastAsia="宋体" w:hAnsi="宋体" w:cs="宋体"/>
          <w:b/>
          <w:bCs/>
          <w:kern w:val="0"/>
          <w:sz w:val="27"/>
          <w:szCs w:val="27"/>
        </w:rPr>
        <w:t>江西师范大学数学与统计学院 202</w:t>
      </w:r>
      <w:r w:rsidR="00F74B0C">
        <w:rPr>
          <w:rFonts w:ascii="宋体" w:eastAsia="宋体" w:hAnsi="宋体" w:cs="宋体"/>
          <w:b/>
          <w:bCs/>
          <w:kern w:val="0"/>
          <w:sz w:val="27"/>
          <w:szCs w:val="27"/>
        </w:rPr>
        <w:t>2</w:t>
      </w:r>
      <w:r w:rsidRPr="00B36F18">
        <w:rPr>
          <w:rFonts w:ascii="宋体" w:eastAsia="宋体" w:hAnsi="宋体" w:cs="宋体"/>
          <w:b/>
          <w:bCs/>
          <w:kern w:val="0"/>
          <w:sz w:val="27"/>
          <w:szCs w:val="27"/>
        </w:rPr>
        <w:t xml:space="preserve">年硕士研究生调剂公告 </w:t>
      </w:r>
    </w:p>
    <w:p w14:paraId="45CCDA8E" w14:textId="0CF49AD0" w:rsidR="00B36F18" w:rsidRPr="00B36F18" w:rsidRDefault="00B36F18" w:rsidP="00D00ED5">
      <w:pPr>
        <w:widowControl/>
        <w:spacing w:before="100" w:beforeAutospacing="1" w:after="100" w:afterAutospacing="1" w:line="442" w:lineRule="atLeast"/>
        <w:ind w:firstLineChars="100" w:firstLine="240"/>
        <w:rPr>
          <w:rFonts w:ascii="宋体" w:eastAsia="宋体" w:hAnsi="宋体" w:cs="宋体"/>
          <w:kern w:val="0"/>
          <w:sz w:val="24"/>
          <w:szCs w:val="24"/>
        </w:rPr>
      </w:pPr>
      <w:r>
        <w:rPr>
          <w:rFonts w:ascii="宋体" w:eastAsia="宋体" w:hAnsi="宋体" w:cs="宋体" w:hint="eastAsia"/>
          <w:iCs/>
          <w:kern w:val="0"/>
          <w:sz w:val="24"/>
          <w:szCs w:val="24"/>
        </w:rPr>
        <w:t>一、</w:t>
      </w:r>
      <w:r w:rsidRPr="00B36F18">
        <w:rPr>
          <w:rFonts w:ascii="仿宋" w:eastAsia="仿宋" w:hAnsi="仿宋" w:cs="宋体" w:hint="eastAsia"/>
          <w:b/>
          <w:bCs/>
          <w:kern w:val="0"/>
          <w:sz w:val="24"/>
          <w:szCs w:val="24"/>
        </w:rPr>
        <w:t>接收调剂专业及名额</w:t>
      </w:r>
    </w:p>
    <w:tbl>
      <w:tblPr>
        <w:tblStyle w:val="a9"/>
        <w:tblW w:w="8214" w:type="dxa"/>
        <w:tblInd w:w="-5" w:type="dxa"/>
        <w:tblLook w:val="04A0" w:firstRow="1" w:lastRow="0" w:firstColumn="1" w:lastColumn="0" w:noHBand="0" w:noVBand="1"/>
      </w:tblPr>
      <w:tblGrid>
        <w:gridCol w:w="1412"/>
        <w:gridCol w:w="2566"/>
        <w:gridCol w:w="1412"/>
        <w:gridCol w:w="1412"/>
        <w:gridCol w:w="1412"/>
      </w:tblGrid>
      <w:tr w:rsidR="00432FA4" w:rsidRPr="00B36F18" w14:paraId="362D5FB5" w14:textId="77777777" w:rsidTr="00B67D96">
        <w:trPr>
          <w:trHeight w:val="402"/>
        </w:trPr>
        <w:tc>
          <w:tcPr>
            <w:tcW w:w="0" w:type="auto"/>
            <w:hideMark/>
          </w:tcPr>
          <w:p w14:paraId="49637164"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专业代码</w:t>
            </w:r>
          </w:p>
        </w:tc>
        <w:tc>
          <w:tcPr>
            <w:tcW w:w="0" w:type="auto"/>
            <w:hideMark/>
          </w:tcPr>
          <w:p w14:paraId="0701E08C"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专业名称</w:t>
            </w:r>
          </w:p>
        </w:tc>
        <w:tc>
          <w:tcPr>
            <w:tcW w:w="0" w:type="auto"/>
            <w:hideMark/>
          </w:tcPr>
          <w:p w14:paraId="6E101ED1" w14:textId="1650D07A"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学位类别</w:t>
            </w:r>
          </w:p>
        </w:tc>
        <w:tc>
          <w:tcPr>
            <w:tcW w:w="0" w:type="auto"/>
            <w:hideMark/>
          </w:tcPr>
          <w:p w14:paraId="7B7B2E76"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学习形式</w:t>
            </w:r>
          </w:p>
        </w:tc>
        <w:tc>
          <w:tcPr>
            <w:tcW w:w="0" w:type="auto"/>
            <w:hideMark/>
          </w:tcPr>
          <w:p w14:paraId="3FB24C7E"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调剂名额</w:t>
            </w:r>
          </w:p>
        </w:tc>
      </w:tr>
      <w:tr w:rsidR="009C1F96" w:rsidRPr="00B36F18" w14:paraId="37774FCB" w14:textId="77777777" w:rsidTr="00B67D96">
        <w:trPr>
          <w:trHeight w:val="402"/>
        </w:trPr>
        <w:tc>
          <w:tcPr>
            <w:tcW w:w="0" w:type="auto"/>
          </w:tcPr>
          <w:p w14:paraId="32FD4A89" w14:textId="6B0A7DA1" w:rsidR="009C1F96" w:rsidRPr="00B36F18" w:rsidRDefault="009C1F96" w:rsidP="00B36F18">
            <w:pPr>
              <w:widowControl/>
              <w:spacing w:before="100" w:beforeAutospacing="1" w:after="100" w:afterAutospacing="1"/>
              <w:jc w:val="left"/>
              <w:rPr>
                <w:rFonts w:ascii="仿宋" w:eastAsia="仿宋" w:hAnsi="仿宋" w:cs="宋体"/>
                <w:b/>
                <w:bCs/>
                <w:kern w:val="0"/>
                <w:sz w:val="24"/>
                <w:szCs w:val="24"/>
              </w:rPr>
            </w:pPr>
            <w:r>
              <w:rPr>
                <w:rFonts w:ascii="仿宋" w:eastAsia="仿宋" w:hAnsi="仿宋" w:cs="宋体" w:hint="eastAsia"/>
                <w:b/>
                <w:bCs/>
                <w:kern w:val="0"/>
                <w:sz w:val="24"/>
                <w:szCs w:val="24"/>
              </w:rPr>
              <w:t>0</w:t>
            </w:r>
            <w:r>
              <w:rPr>
                <w:rFonts w:ascii="仿宋" w:eastAsia="仿宋" w:hAnsi="仿宋" w:cs="宋体"/>
                <w:b/>
                <w:bCs/>
                <w:kern w:val="0"/>
                <w:sz w:val="24"/>
                <w:szCs w:val="24"/>
              </w:rPr>
              <w:t>70100</w:t>
            </w:r>
          </w:p>
        </w:tc>
        <w:tc>
          <w:tcPr>
            <w:tcW w:w="0" w:type="auto"/>
          </w:tcPr>
          <w:p w14:paraId="3A2127BC" w14:textId="0A4C8E3F" w:rsidR="009C1F96" w:rsidRPr="00B36F18" w:rsidRDefault="009C1F96" w:rsidP="00B36F18">
            <w:pPr>
              <w:widowControl/>
              <w:spacing w:before="100" w:beforeAutospacing="1" w:after="100" w:afterAutospacing="1"/>
              <w:jc w:val="left"/>
              <w:rPr>
                <w:rFonts w:ascii="仿宋" w:eastAsia="仿宋" w:hAnsi="仿宋" w:cs="宋体"/>
                <w:b/>
                <w:bCs/>
                <w:kern w:val="0"/>
                <w:sz w:val="24"/>
                <w:szCs w:val="24"/>
              </w:rPr>
            </w:pPr>
            <w:r>
              <w:rPr>
                <w:rFonts w:ascii="仿宋" w:eastAsia="仿宋" w:hAnsi="仿宋" w:cs="宋体" w:hint="eastAsia"/>
                <w:b/>
                <w:bCs/>
                <w:kern w:val="0"/>
                <w:sz w:val="24"/>
                <w:szCs w:val="24"/>
              </w:rPr>
              <w:t>数学</w:t>
            </w:r>
          </w:p>
        </w:tc>
        <w:tc>
          <w:tcPr>
            <w:tcW w:w="0" w:type="auto"/>
          </w:tcPr>
          <w:p w14:paraId="24FE3974" w14:textId="5F3C9AAE" w:rsidR="009C1F96" w:rsidRPr="00B36F18" w:rsidRDefault="009C1F96" w:rsidP="00B36F18">
            <w:pPr>
              <w:widowControl/>
              <w:spacing w:before="100" w:beforeAutospacing="1" w:after="100" w:afterAutospacing="1"/>
              <w:jc w:val="left"/>
              <w:rPr>
                <w:rFonts w:ascii="仿宋" w:eastAsia="仿宋" w:hAnsi="仿宋" w:cs="宋体"/>
                <w:b/>
                <w:bCs/>
                <w:kern w:val="0"/>
                <w:sz w:val="24"/>
                <w:szCs w:val="24"/>
              </w:rPr>
            </w:pPr>
            <w:r>
              <w:rPr>
                <w:rFonts w:ascii="仿宋" w:eastAsia="仿宋" w:hAnsi="仿宋" w:cs="宋体" w:hint="eastAsia"/>
                <w:b/>
                <w:bCs/>
                <w:kern w:val="0"/>
                <w:sz w:val="24"/>
                <w:szCs w:val="24"/>
              </w:rPr>
              <w:t>学术型</w:t>
            </w:r>
          </w:p>
        </w:tc>
        <w:tc>
          <w:tcPr>
            <w:tcW w:w="0" w:type="auto"/>
          </w:tcPr>
          <w:p w14:paraId="47EEEF08" w14:textId="187F209F" w:rsidR="009C1F96" w:rsidRPr="00B36F18" w:rsidRDefault="009C1F96" w:rsidP="00B36F18">
            <w:pPr>
              <w:widowControl/>
              <w:spacing w:before="100" w:beforeAutospacing="1" w:after="100" w:afterAutospacing="1"/>
              <w:jc w:val="left"/>
              <w:rPr>
                <w:rFonts w:ascii="仿宋" w:eastAsia="仿宋" w:hAnsi="仿宋" w:cs="宋体"/>
                <w:b/>
                <w:bCs/>
                <w:kern w:val="0"/>
                <w:sz w:val="24"/>
                <w:szCs w:val="24"/>
              </w:rPr>
            </w:pPr>
            <w:r>
              <w:rPr>
                <w:rFonts w:ascii="仿宋" w:eastAsia="仿宋" w:hAnsi="仿宋" w:cs="宋体" w:hint="eastAsia"/>
                <w:b/>
                <w:bCs/>
                <w:kern w:val="0"/>
                <w:sz w:val="24"/>
                <w:szCs w:val="24"/>
              </w:rPr>
              <w:t>全日制</w:t>
            </w:r>
          </w:p>
        </w:tc>
        <w:tc>
          <w:tcPr>
            <w:tcW w:w="0" w:type="auto"/>
          </w:tcPr>
          <w:p w14:paraId="3454E238" w14:textId="5C4D8461" w:rsidR="009C1F96" w:rsidRPr="00B36F18" w:rsidRDefault="009C1F96" w:rsidP="00B36F18">
            <w:pPr>
              <w:widowControl/>
              <w:spacing w:before="100" w:beforeAutospacing="1" w:after="100" w:afterAutospacing="1"/>
              <w:jc w:val="left"/>
              <w:rPr>
                <w:rFonts w:ascii="仿宋" w:eastAsia="仿宋" w:hAnsi="仿宋" w:cs="宋体"/>
                <w:b/>
                <w:bCs/>
                <w:kern w:val="0"/>
                <w:sz w:val="24"/>
                <w:szCs w:val="24"/>
              </w:rPr>
            </w:pPr>
            <w:r>
              <w:rPr>
                <w:rFonts w:ascii="仿宋" w:eastAsia="仿宋" w:hAnsi="仿宋" w:cs="宋体" w:hint="eastAsia"/>
                <w:b/>
                <w:bCs/>
                <w:kern w:val="0"/>
                <w:sz w:val="24"/>
                <w:szCs w:val="24"/>
              </w:rPr>
              <w:t>1</w:t>
            </w:r>
            <w:r>
              <w:rPr>
                <w:rFonts w:ascii="仿宋" w:eastAsia="仿宋" w:hAnsi="仿宋" w:cs="宋体"/>
                <w:b/>
                <w:bCs/>
                <w:kern w:val="0"/>
                <w:sz w:val="24"/>
                <w:szCs w:val="24"/>
              </w:rPr>
              <w:t>0</w:t>
            </w:r>
          </w:p>
        </w:tc>
      </w:tr>
      <w:tr w:rsidR="00432FA4" w:rsidRPr="00B36F18" w14:paraId="5AC23742" w14:textId="77777777" w:rsidTr="00B67D96">
        <w:trPr>
          <w:trHeight w:val="386"/>
        </w:trPr>
        <w:tc>
          <w:tcPr>
            <w:tcW w:w="0" w:type="auto"/>
            <w:hideMark/>
          </w:tcPr>
          <w:p w14:paraId="05BD65BE" w14:textId="4D0AE382" w:rsidR="00432FA4" w:rsidRPr="00B36F18" w:rsidRDefault="00432FA4" w:rsidP="00B36F18">
            <w:pPr>
              <w:widowControl/>
              <w:spacing w:before="100" w:beforeAutospacing="1" w:after="100" w:afterAutospacing="1"/>
              <w:jc w:val="left"/>
              <w:rPr>
                <w:rFonts w:ascii="仿宋" w:eastAsia="仿宋" w:hAnsi="仿宋" w:cs="宋体"/>
                <w:b/>
                <w:bCs/>
                <w:kern w:val="0"/>
                <w:sz w:val="24"/>
                <w:szCs w:val="24"/>
              </w:rPr>
            </w:pPr>
            <w:r w:rsidRPr="00B36F18">
              <w:rPr>
                <w:rFonts w:ascii="仿宋" w:eastAsia="仿宋" w:hAnsi="仿宋" w:cs="宋体" w:hint="eastAsia"/>
                <w:b/>
                <w:bCs/>
                <w:kern w:val="0"/>
                <w:sz w:val="24"/>
                <w:szCs w:val="24"/>
              </w:rPr>
              <w:t>07</w:t>
            </w:r>
            <w:r>
              <w:rPr>
                <w:rFonts w:ascii="仿宋" w:eastAsia="仿宋" w:hAnsi="仿宋" w:cs="宋体"/>
                <w:b/>
                <w:bCs/>
                <w:kern w:val="0"/>
                <w:sz w:val="24"/>
                <w:szCs w:val="24"/>
              </w:rPr>
              <w:t>14</w:t>
            </w:r>
            <w:r w:rsidRPr="00B36F18">
              <w:rPr>
                <w:rFonts w:ascii="仿宋" w:eastAsia="仿宋" w:hAnsi="仿宋" w:cs="宋体" w:hint="eastAsia"/>
                <w:b/>
                <w:bCs/>
                <w:kern w:val="0"/>
                <w:sz w:val="24"/>
                <w:szCs w:val="24"/>
              </w:rPr>
              <w:t>00</w:t>
            </w:r>
          </w:p>
        </w:tc>
        <w:tc>
          <w:tcPr>
            <w:tcW w:w="0" w:type="auto"/>
            <w:hideMark/>
          </w:tcPr>
          <w:p w14:paraId="4DF4EC56" w14:textId="63F403D8" w:rsidR="00432FA4" w:rsidRPr="00B36F18" w:rsidRDefault="00432FA4" w:rsidP="00B36F18">
            <w:pPr>
              <w:widowControl/>
              <w:spacing w:before="100" w:beforeAutospacing="1" w:after="100" w:afterAutospacing="1"/>
              <w:jc w:val="left"/>
              <w:rPr>
                <w:rFonts w:ascii="仿宋" w:eastAsia="仿宋" w:hAnsi="仿宋" w:cs="宋体"/>
                <w:b/>
                <w:bCs/>
                <w:kern w:val="0"/>
                <w:sz w:val="24"/>
                <w:szCs w:val="24"/>
              </w:rPr>
            </w:pPr>
            <w:r w:rsidRPr="00146F9F">
              <w:rPr>
                <w:rFonts w:ascii="仿宋" w:eastAsia="仿宋" w:hAnsi="仿宋" w:cs="宋体" w:hint="eastAsia"/>
                <w:b/>
                <w:bCs/>
                <w:kern w:val="0"/>
                <w:sz w:val="24"/>
                <w:szCs w:val="24"/>
              </w:rPr>
              <w:t>统计学</w:t>
            </w:r>
          </w:p>
        </w:tc>
        <w:tc>
          <w:tcPr>
            <w:tcW w:w="0" w:type="auto"/>
            <w:hideMark/>
          </w:tcPr>
          <w:p w14:paraId="481B6F91" w14:textId="57FFE341"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学术</w:t>
            </w:r>
            <w:r>
              <w:rPr>
                <w:rFonts w:ascii="仿宋" w:eastAsia="仿宋" w:hAnsi="仿宋" w:cs="宋体" w:hint="eastAsia"/>
                <w:b/>
                <w:bCs/>
                <w:kern w:val="0"/>
                <w:sz w:val="24"/>
                <w:szCs w:val="24"/>
              </w:rPr>
              <w:t>型</w:t>
            </w:r>
          </w:p>
        </w:tc>
        <w:tc>
          <w:tcPr>
            <w:tcW w:w="0" w:type="auto"/>
            <w:hideMark/>
          </w:tcPr>
          <w:p w14:paraId="5F93DCB9"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全日制</w:t>
            </w:r>
          </w:p>
        </w:tc>
        <w:tc>
          <w:tcPr>
            <w:tcW w:w="0" w:type="auto"/>
            <w:hideMark/>
          </w:tcPr>
          <w:p w14:paraId="4687973F"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11</w:t>
            </w:r>
          </w:p>
        </w:tc>
      </w:tr>
      <w:tr w:rsidR="00432FA4" w:rsidRPr="00B36F18" w14:paraId="1D7BF3DA" w14:textId="77777777" w:rsidTr="00B67D96">
        <w:trPr>
          <w:trHeight w:val="402"/>
        </w:trPr>
        <w:tc>
          <w:tcPr>
            <w:tcW w:w="0" w:type="auto"/>
            <w:hideMark/>
          </w:tcPr>
          <w:p w14:paraId="67CEC3FA"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045104</w:t>
            </w:r>
          </w:p>
        </w:tc>
        <w:tc>
          <w:tcPr>
            <w:tcW w:w="0" w:type="auto"/>
            <w:hideMark/>
          </w:tcPr>
          <w:p w14:paraId="02414855"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学科教学（数学）</w:t>
            </w:r>
          </w:p>
        </w:tc>
        <w:tc>
          <w:tcPr>
            <w:tcW w:w="0" w:type="auto"/>
            <w:hideMark/>
          </w:tcPr>
          <w:p w14:paraId="1D8097AF" w14:textId="03171E78"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专</w:t>
            </w:r>
            <w:r>
              <w:rPr>
                <w:rFonts w:ascii="仿宋" w:eastAsia="仿宋" w:hAnsi="仿宋" w:cs="宋体" w:hint="eastAsia"/>
                <w:b/>
                <w:bCs/>
                <w:kern w:val="0"/>
                <w:sz w:val="24"/>
                <w:szCs w:val="24"/>
              </w:rPr>
              <w:t>业学位</w:t>
            </w:r>
          </w:p>
        </w:tc>
        <w:tc>
          <w:tcPr>
            <w:tcW w:w="0" w:type="auto"/>
            <w:hideMark/>
          </w:tcPr>
          <w:p w14:paraId="6947CDE5" w14:textId="77777777"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sidRPr="00B36F18">
              <w:rPr>
                <w:rFonts w:ascii="仿宋" w:eastAsia="仿宋" w:hAnsi="仿宋" w:cs="宋体" w:hint="eastAsia"/>
                <w:b/>
                <w:bCs/>
                <w:kern w:val="0"/>
                <w:sz w:val="24"/>
                <w:szCs w:val="24"/>
              </w:rPr>
              <w:t>全日制</w:t>
            </w:r>
          </w:p>
        </w:tc>
        <w:tc>
          <w:tcPr>
            <w:tcW w:w="0" w:type="auto"/>
            <w:hideMark/>
          </w:tcPr>
          <w:p w14:paraId="02B2B950" w14:textId="78AF46A2" w:rsidR="00432FA4" w:rsidRPr="00B36F18" w:rsidRDefault="00432FA4" w:rsidP="00B36F18">
            <w:pPr>
              <w:widowControl/>
              <w:spacing w:before="100" w:beforeAutospacing="1" w:after="100" w:afterAutospacing="1"/>
              <w:jc w:val="left"/>
              <w:rPr>
                <w:rFonts w:ascii="宋体" w:eastAsia="宋体" w:hAnsi="宋体" w:cs="宋体"/>
                <w:kern w:val="0"/>
                <w:sz w:val="24"/>
                <w:szCs w:val="24"/>
              </w:rPr>
            </w:pPr>
            <w:r>
              <w:rPr>
                <w:rFonts w:ascii="仿宋" w:eastAsia="仿宋" w:hAnsi="仿宋" w:cs="宋体"/>
                <w:b/>
                <w:bCs/>
                <w:kern w:val="0"/>
                <w:sz w:val="24"/>
                <w:szCs w:val="24"/>
              </w:rPr>
              <w:t>27</w:t>
            </w:r>
          </w:p>
        </w:tc>
      </w:tr>
    </w:tbl>
    <w:p w14:paraId="2F11C059" w14:textId="77777777" w:rsidR="00B36F18" w:rsidRPr="00B36F18" w:rsidRDefault="00B36F18" w:rsidP="003919E7">
      <w:pPr>
        <w:widowControl/>
        <w:spacing w:before="100" w:beforeAutospacing="1" w:after="100" w:afterAutospacing="1"/>
        <w:ind w:firstLineChars="100" w:firstLine="241"/>
        <w:jc w:val="left"/>
        <w:rPr>
          <w:rFonts w:ascii="宋体" w:eastAsia="宋体" w:hAnsi="宋体" w:cs="宋体"/>
          <w:kern w:val="0"/>
          <w:sz w:val="24"/>
          <w:szCs w:val="24"/>
        </w:rPr>
      </w:pPr>
      <w:r w:rsidRPr="00B36F18">
        <w:rPr>
          <w:rFonts w:ascii="仿宋" w:eastAsia="仿宋" w:hAnsi="仿宋" w:cs="宋体" w:hint="eastAsia"/>
          <w:b/>
          <w:bCs/>
          <w:kern w:val="0"/>
          <w:sz w:val="24"/>
          <w:szCs w:val="24"/>
        </w:rPr>
        <w:t>二、调剂要求</w:t>
      </w:r>
    </w:p>
    <w:p w14:paraId="570CD652" w14:textId="01303F42" w:rsidR="00B36F18" w:rsidRPr="00B36F18" w:rsidRDefault="00B36F18" w:rsidP="009C1F96">
      <w:pPr>
        <w:widowControl/>
        <w:spacing w:line="460" w:lineRule="atLeast"/>
        <w:ind w:firstLine="238"/>
        <w:rPr>
          <w:rFonts w:ascii="宋体" w:eastAsia="宋体" w:hAnsi="宋体" w:cs="宋体"/>
          <w:kern w:val="0"/>
          <w:sz w:val="24"/>
          <w:szCs w:val="24"/>
        </w:rPr>
      </w:pPr>
      <w:r w:rsidRPr="00B36F18">
        <w:rPr>
          <w:rFonts w:ascii="仿宋" w:eastAsia="仿宋" w:hAnsi="仿宋" w:cs="宋体" w:hint="eastAsia"/>
          <w:kern w:val="0"/>
          <w:sz w:val="24"/>
          <w:szCs w:val="24"/>
        </w:rPr>
        <w:t>1.符合招生简章中规定的调入专业的报考条件</w:t>
      </w:r>
      <w:r w:rsidR="00A87DA4">
        <w:rPr>
          <w:rFonts w:ascii="仿宋" w:eastAsia="仿宋" w:hAnsi="仿宋" w:cs="宋体" w:hint="eastAsia"/>
          <w:kern w:val="0"/>
          <w:sz w:val="24"/>
          <w:szCs w:val="24"/>
        </w:rPr>
        <w:t>。</w:t>
      </w:r>
      <w:r w:rsidR="00972D7A">
        <w:rPr>
          <w:rFonts w:ascii="仿宋" w:eastAsia="仿宋" w:hAnsi="仿宋" w:cs="宋体" w:hint="eastAsia"/>
          <w:kern w:val="0"/>
          <w:sz w:val="24"/>
          <w:szCs w:val="24"/>
        </w:rPr>
        <w:t>其中学科教学（数学）只</w:t>
      </w:r>
      <w:proofErr w:type="gramStart"/>
      <w:r w:rsidR="00972D7A">
        <w:rPr>
          <w:rFonts w:ascii="仿宋" w:eastAsia="仿宋" w:hAnsi="仿宋" w:cs="宋体" w:hint="eastAsia"/>
          <w:kern w:val="0"/>
          <w:sz w:val="24"/>
          <w:szCs w:val="24"/>
        </w:rPr>
        <w:t>招数学类专业</w:t>
      </w:r>
      <w:proofErr w:type="gramEnd"/>
      <w:r w:rsidR="00972D7A">
        <w:rPr>
          <w:rFonts w:ascii="仿宋" w:eastAsia="仿宋" w:hAnsi="仿宋" w:cs="宋体" w:hint="eastAsia"/>
          <w:kern w:val="0"/>
          <w:sz w:val="24"/>
          <w:szCs w:val="24"/>
        </w:rPr>
        <w:t>和统计学类专业的全日制本科生。</w:t>
      </w:r>
    </w:p>
    <w:p w14:paraId="2286E647" w14:textId="77777777" w:rsidR="00B36F18" w:rsidRPr="00B36F18" w:rsidRDefault="00B36F18" w:rsidP="009C1F96">
      <w:pPr>
        <w:widowControl/>
        <w:spacing w:line="460" w:lineRule="atLeast"/>
        <w:ind w:firstLine="238"/>
        <w:rPr>
          <w:rFonts w:ascii="宋体" w:eastAsia="宋体" w:hAnsi="宋体" w:cs="宋体"/>
          <w:kern w:val="0"/>
          <w:sz w:val="24"/>
          <w:szCs w:val="24"/>
        </w:rPr>
      </w:pPr>
      <w:r w:rsidRPr="00B36F18">
        <w:rPr>
          <w:rFonts w:ascii="仿宋" w:eastAsia="仿宋" w:hAnsi="仿宋" w:cs="宋体" w:hint="eastAsia"/>
          <w:kern w:val="0"/>
          <w:sz w:val="24"/>
          <w:szCs w:val="24"/>
        </w:rPr>
        <w:t>2.初试成绩须符合第一志愿报考专业A类地区的全国初试成绩基本要求。</w:t>
      </w:r>
    </w:p>
    <w:p w14:paraId="2C3CE725" w14:textId="77777777" w:rsidR="00B36F18" w:rsidRPr="00B36F18" w:rsidRDefault="00B36F18" w:rsidP="009C1F96">
      <w:pPr>
        <w:widowControl/>
        <w:spacing w:line="460" w:lineRule="atLeast"/>
        <w:ind w:firstLine="238"/>
        <w:rPr>
          <w:rFonts w:ascii="宋体" w:eastAsia="宋体" w:hAnsi="宋体" w:cs="宋体"/>
          <w:kern w:val="0"/>
          <w:sz w:val="24"/>
          <w:szCs w:val="24"/>
        </w:rPr>
      </w:pPr>
      <w:r w:rsidRPr="00B36F18">
        <w:rPr>
          <w:rFonts w:ascii="仿宋" w:eastAsia="仿宋" w:hAnsi="仿宋" w:cs="宋体" w:hint="eastAsia"/>
          <w:kern w:val="0"/>
          <w:sz w:val="24"/>
          <w:szCs w:val="24"/>
        </w:rPr>
        <w:t>3.调入专业与第一志愿报考专业相同或相</w:t>
      </w:r>
      <w:bookmarkStart w:id="0" w:name="_GoBack"/>
      <w:bookmarkEnd w:id="0"/>
      <w:r w:rsidRPr="00B36F18">
        <w:rPr>
          <w:rFonts w:ascii="仿宋" w:eastAsia="仿宋" w:hAnsi="仿宋" w:cs="宋体" w:hint="eastAsia"/>
          <w:kern w:val="0"/>
          <w:sz w:val="24"/>
          <w:szCs w:val="24"/>
        </w:rPr>
        <w:t>近，应在同一学科门类范围内。</w:t>
      </w:r>
    </w:p>
    <w:p w14:paraId="377C3682" w14:textId="77777777" w:rsidR="00B36F18" w:rsidRPr="00B36F18" w:rsidRDefault="00B36F18" w:rsidP="009C1F96">
      <w:pPr>
        <w:widowControl/>
        <w:spacing w:line="460" w:lineRule="atLeast"/>
        <w:ind w:firstLine="238"/>
        <w:rPr>
          <w:rFonts w:ascii="宋体" w:eastAsia="宋体" w:hAnsi="宋体" w:cs="宋体"/>
          <w:kern w:val="0"/>
          <w:sz w:val="24"/>
          <w:szCs w:val="24"/>
        </w:rPr>
      </w:pPr>
      <w:r w:rsidRPr="00B36F18">
        <w:rPr>
          <w:rFonts w:ascii="仿宋" w:eastAsia="仿宋" w:hAnsi="仿宋" w:cs="宋体" w:hint="eastAsia"/>
          <w:kern w:val="0"/>
          <w:sz w:val="24"/>
          <w:szCs w:val="24"/>
        </w:rPr>
        <w:t>4.考生初试科目与调入专业初试科目相同或相近，其中初试全国统一命题科目应与调入专业全国统一命题科目相同。我院不接受外语科目为非英语的考生。</w:t>
      </w:r>
    </w:p>
    <w:p w14:paraId="04570030" w14:textId="77777777" w:rsidR="003919E7" w:rsidRDefault="00B36F18" w:rsidP="003919E7">
      <w:pPr>
        <w:widowControl/>
        <w:spacing w:before="100" w:beforeAutospacing="1" w:after="100" w:afterAutospacing="1"/>
        <w:ind w:left="238"/>
        <w:jc w:val="left"/>
        <w:rPr>
          <w:rFonts w:ascii="仿宋" w:eastAsia="仿宋" w:hAnsi="仿宋" w:cs="宋体"/>
          <w:b/>
          <w:bCs/>
          <w:kern w:val="0"/>
          <w:sz w:val="24"/>
          <w:szCs w:val="24"/>
        </w:rPr>
      </w:pPr>
      <w:r w:rsidRPr="00B36F18">
        <w:rPr>
          <w:rFonts w:ascii="仿宋" w:eastAsia="仿宋" w:hAnsi="仿宋" w:cs="宋体" w:hint="eastAsia"/>
          <w:color w:val="000000"/>
          <w:kern w:val="0"/>
          <w:sz w:val="24"/>
          <w:szCs w:val="24"/>
        </w:rPr>
        <w:t>三</w:t>
      </w:r>
      <w:r w:rsidRPr="00B36F18">
        <w:rPr>
          <w:rFonts w:ascii="仿宋" w:eastAsia="仿宋" w:hAnsi="仿宋" w:cs="宋体" w:hint="eastAsia"/>
          <w:b/>
          <w:bCs/>
          <w:kern w:val="0"/>
          <w:sz w:val="24"/>
          <w:szCs w:val="24"/>
        </w:rPr>
        <w:t>、调剂流程</w:t>
      </w:r>
    </w:p>
    <w:p w14:paraId="3343D851" w14:textId="18AED987" w:rsidR="00B36F18" w:rsidRPr="00B36F18" w:rsidRDefault="00B36F18" w:rsidP="009C1F96">
      <w:pPr>
        <w:widowControl/>
        <w:spacing w:line="460" w:lineRule="exact"/>
        <w:ind w:left="238"/>
        <w:rPr>
          <w:rFonts w:ascii="仿宋" w:eastAsia="仿宋" w:hAnsi="仿宋" w:cs="宋体"/>
          <w:kern w:val="0"/>
          <w:sz w:val="24"/>
          <w:szCs w:val="24"/>
        </w:rPr>
      </w:pPr>
      <w:r w:rsidRPr="00B36F18">
        <w:rPr>
          <w:rFonts w:ascii="仿宋" w:eastAsia="仿宋" w:hAnsi="仿宋" w:cs="宋体" w:hint="eastAsia"/>
          <w:kern w:val="0"/>
          <w:sz w:val="24"/>
          <w:szCs w:val="24"/>
        </w:rPr>
        <w:t>1.学院发布调剂公告。</w:t>
      </w:r>
    </w:p>
    <w:p w14:paraId="4CCE7304" w14:textId="77777777" w:rsidR="00B36F18" w:rsidRP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2.考生填报调剂信息。符合调剂条件的考生在中国研究生招生信息网调剂系统（http://yz.chsi.com.cn/yztj/）中按要求填报调剂志愿。</w:t>
      </w:r>
    </w:p>
    <w:p w14:paraId="271F4742" w14:textId="77777777" w:rsidR="00B36F18" w:rsidRP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3.学院审核调剂。学院按调剂条件择优挑选考生并确认考生调剂意愿，将同意调剂的合格考生添加到复试</w:t>
      </w:r>
      <w:proofErr w:type="gramStart"/>
      <w:r w:rsidRPr="00B36F18">
        <w:rPr>
          <w:rFonts w:ascii="仿宋" w:eastAsia="仿宋" w:hAnsi="仿宋" w:cs="宋体" w:hint="eastAsia"/>
          <w:kern w:val="0"/>
          <w:sz w:val="24"/>
          <w:szCs w:val="24"/>
        </w:rPr>
        <w:t>备选库并发送</w:t>
      </w:r>
      <w:proofErr w:type="gramEnd"/>
      <w:r w:rsidRPr="00B36F18">
        <w:rPr>
          <w:rFonts w:ascii="仿宋" w:eastAsia="仿宋" w:hAnsi="仿宋" w:cs="宋体" w:hint="eastAsia"/>
          <w:kern w:val="0"/>
          <w:sz w:val="24"/>
          <w:szCs w:val="24"/>
        </w:rPr>
        <w:t>复试通知。</w:t>
      </w:r>
    </w:p>
    <w:p w14:paraId="75FD6A8B" w14:textId="77777777" w:rsidR="00B36F18" w:rsidRP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4.</w:t>
      </w:r>
      <w:proofErr w:type="gramStart"/>
      <w:r w:rsidRPr="00B36F18">
        <w:rPr>
          <w:rFonts w:ascii="仿宋" w:eastAsia="仿宋" w:hAnsi="仿宋" w:cs="宋体" w:hint="eastAsia"/>
          <w:kern w:val="0"/>
          <w:sz w:val="24"/>
          <w:szCs w:val="24"/>
        </w:rPr>
        <w:t>研</w:t>
      </w:r>
      <w:proofErr w:type="gramEnd"/>
      <w:r w:rsidRPr="00B36F18">
        <w:rPr>
          <w:rFonts w:ascii="仿宋" w:eastAsia="仿宋" w:hAnsi="仿宋" w:cs="宋体" w:hint="eastAsia"/>
          <w:kern w:val="0"/>
          <w:sz w:val="24"/>
          <w:szCs w:val="24"/>
        </w:rPr>
        <w:t>招办审核调剂复试通知。</w:t>
      </w:r>
    </w:p>
    <w:p w14:paraId="15ED3FD9" w14:textId="77777777" w:rsidR="00B36F18" w:rsidRP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5.考生接受复试通知。考生须在规定时间内接受复试通知，否则视为放弃复试资格。</w:t>
      </w:r>
    </w:p>
    <w:p w14:paraId="49B72A4B" w14:textId="77777777" w:rsidR="00B36F18" w:rsidRP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6.考生复试。考生按复试通知要求进行复试。</w:t>
      </w:r>
    </w:p>
    <w:p w14:paraId="12DE5D82" w14:textId="21BE71A3" w:rsidR="00B36F18" w:rsidRDefault="00B36F18" w:rsidP="009C1F96">
      <w:pPr>
        <w:widowControl/>
        <w:spacing w:line="460" w:lineRule="exact"/>
        <w:ind w:firstLine="238"/>
        <w:rPr>
          <w:rFonts w:ascii="仿宋" w:eastAsia="仿宋" w:hAnsi="仿宋" w:cs="宋体"/>
          <w:kern w:val="0"/>
          <w:sz w:val="24"/>
          <w:szCs w:val="24"/>
        </w:rPr>
      </w:pPr>
      <w:r w:rsidRPr="00B36F18">
        <w:rPr>
          <w:rFonts w:ascii="仿宋" w:eastAsia="仿宋" w:hAnsi="仿宋" w:cs="宋体" w:hint="eastAsia"/>
          <w:kern w:val="0"/>
          <w:sz w:val="24"/>
          <w:szCs w:val="24"/>
        </w:rPr>
        <w:t>7.待录取操作。对复试</w:t>
      </w:r>
      <w:proofErr w:type="gramStart"/>
      <w:r w:rsidRPr="00B36F18">
        <w:rPr>
          <w:rFonts w:ascii="仿宋" w:eastAsia="仿宋" w:hAnsi="仿宋" w:cs="宋体" w:hint="eastAsia"/>
          <w:kern w:val="0"/>
          <w:sz w:val="24"/>
          <w:szCs w:val="24"/>
        </w:rPr>
        <w:t>合格被拟录取</w:t>
      </w:r>
      <w:proofErr w:type="gramEnd"/>
      <w:r w:rsidRPr="00B36F18">
        <w:rPr>
          <w:rFonts w:ascii="仿宋" w:eastAsia="仿宋" w:hAnsi="仿宋" w:cs="宋体" w:hint="eastAsia"/>
          <w:kern w:val="0"/>
          <w:sz w:val="24"/>
          <w:szCs w:val="24"/>
        </w:rPr>
        <w:t>的调剂考生，学校将在调剂系统中发“待录取通知”，考生必须在规定时间内接受“待录取”，否则取消拟录取资格。</w:t>
      </w:r>
    </w:p>
    <w:p w14:paraId="646B4D89" w14:textId="62E2498B" w:rsidR="009E0883" w:rsidRDefault="009E0883" w:rsidP="009C1F96">
      <w:pPr>
        <w:widowControl/>
        <w:spacing w:line="460" w:lineRule="exact"/>
        <w:ind w:firstLine="238"/>
        <w:rPr>
          <w:rFonts w:ascii="仿宋" w:eastAsia="仿宋" w:hAnsi="仿宋" w:cs="宋体"/>
          <w:kern w:val="0"/>
          <w:sz w:val="24"/>
          <w:szCs w:val="24"/>
        </w:rPr>
      </w:pPr>
      <w:r w:rsidRPr="00492B45">
        <w:rPr>
          <w:rFonts w:ascii="仿宋" w:eastAsia="仿宋" w:hAnsi="仿宋" w:cs="宋体" w:hint="eastAsia"/>
          <w:kern w:val="0"/>
          <w:sz w:val="24"/>
          <w:szCs w:val="24"/>
        </w:rPr>
        <w:t>注：以上信息若与国家有关部门及教育部颁布的规定有不同之处，须按国家有关部门及教育部有关文件的规定执行，并以我校研究生院网站公布信息为准。</w:t>
      </w:r>
    </w:p>
    <w:p w14:paraId="1E2C31EA" w14:textId="77777777" w:rsidR="009C1F96" w:rsidRPr="00492B45" w:rsidRDefault="009C1F96" w:rsidP="009C1F96">
      <w:pPr>
        <w:widowControl/>
        <w:spacing w:line="460" w:lineRule="exact"/>
        <w:ind w:firstLine="238"/>
        <w:rPr>
          <w:rFonts w:ascii="仿宋" w:eastAsia="仿宋" w:hAnsi="仿宋" w:cs="宋体"/>
          <w:kern w:val="0"/>
          <w:sz w:val="24"/>
          <w:szCs w:val="24"/>
        </w:rPr>
      </w:pPr>
    </w:p>
    <w:p w14:paraId="77B60B08" w14:textId="77777777" w:rsidR="00B36F18" w:rsidRPr="00B36F18" w:rsidRDefault="00B36F18" w:rsidP="003919E7">
      <w:pPr>
        <w:widowControl/>
        <w:spacing w:before="100" w:beforeAutospacing="1" w:after="100" w:afterAutospacing="1"/>
        <w:ind w:firstLineChars="200" w:firstLine="482"/>
        <w:jc w:val="left"/>
        <w:rPr>
          <w:rFonts w:ascii="宋体" w:eastAsia="宋体" w:hAnsi="宋体" w:cs="宋体"/>
          <w:kern w:val="0"/>
          <w:sz w:val="24"/>
          <w:szCs w:val="24"/>
        </w:rPr>
      </w:pPr>
      <w:r w:rsidRPr="00B36F18">
        <w:rPr>
          <w:rFonts w:ascii="仿宋" w:eastAsia="仿宋" w:hAnsi="仿宋" w:cs="宋体" w:hint="eastAsia"/>
          <w:b/>
          <w:bCs/>
          <w:kern w:val="0"/>
          <w:sz w:val="24"/>
          <w:szCs w:val="24"/>
        </w:rPr>
        <w:t>四、调剂报名</w:t>
      </w:r>
    </w:p>
    <w:p w14:paraId="1DD224B3" w14:textId="77777777" w:rsidR="00B36F18" w:rsidRPr="00B36F18" w:rsidRDefault="00B36F18" w:rsidP="00D00ED5">
      <w:pPr>
        <w:widowControl/>
        <w:spacing w:line="440" w:lineRule="atLeast"/>
        <w:ind w:firstLine="482"/>
        <w:jc w:val="left"/>
        <w:rPr>
          <w:rFonts w:ascii="宋体" w:eastAsia="宋体" w:hAnsi="宋体" w:cs="宋体"/>
          <w:kern w:val="0"/>
          <w:sz w:val="24"/>
          <w:szCs w:val="24"/>
        </w:rPr>
      </w:pPr>
      <w:r w:rsidRPr="00B36F18">
        <w:rPr>
          <w:rFonts w:ascii="仿宋" w:eastAsia="仿宋" w:hAnsi="仿宋" w:cs="宋体" w:hint="eastAsia"/>
          <w:kern w:val="0"/>
          <w:sz w:val="24"/>
          <w:szCs w:val="24"/>
        </w:rPr>
        <w:t>在中国研究生招生信息网调剂系统（http://yz.chsi.com.cn/yztj/）中按要求填写调剂志愿。</w:t>
      </w:r>
    </w:p>
    <w:p w14:paraId="21D6A4FF" w14:textId="5094795F" w:rsidR="00B36F18" w:rsidRPr="00B36F18" w:rsidRDefault="00B36F18" w:rsidP="00D00ED5">
      <w:pPr>
        <w:widowControl/>
        <w:spacing w:line="440" w:lineRule="atLeast"/>
        <w:ind w:firstLine="482"/>
        <w:jc w:val="left"/>
        <w:rPr>
          <w:rFonts w:ascii="宋体" w:eastAsia="宋体" w:hAnsi="宋体" w:cs="宋体"/>
          <w:kern w:val="0"/>
          <w:sz w:val="24"/>
          <w:szCs w:val="24"/>
        </w:rPr>
      </w:pPr>
      <w:r w:rsidRPr="00B36F18">
        <w:rPr>
          <w:rFonts w:ascii="仿宋" w:eastAsia="仿宋" w:hAnsi="仿宋" w:cs="宋体" w:hint="eastAsia"/>
          <w:kern w:val="0"/>
          <w:sz w:val="24"/>
          <w:szCs w:val="24"/>
        </w:rPr>
        <w:t>调剂系统开放时间</w:t>
      </w:r>
      <w:r w:rsidR="009E0883">
        <w:rPr>
          <w:rFonts w:ascii="仿宋" w:eastAsia="仿宋" w:hAnsi="仿宋" w:cs="宋体"/>
          <w:kern w:val="0"/>
          <w:sz w:val="24"/>
          <w:szCs w:val="24"/>
        </w:rPr>
        <w:t>4</w:t>
      </w:r>
      <w:r w:rsidRPr="00B36F18">
        <w:rPr>
          <w:rFonts w:ascii="仿宋" w:eastAsia="仿宋" w:hAnsi="仿宋" w:cs="宋体" w:hint="eastAsia"/>
          <w:kern w:val="0"/>
          <w:sz w:val="24"/>
          <w:szCs w:val="24"/>
        </w:rPr>
        <w:t>月</w:t>
      </w:r>
      <w:r w:rsidR="009E0883">
        <w:rPr>
          <w:rFonts w:ascii="仿宋" w:eastAsia="仿宋" w:hAnsi="仿宋" w:cs="宋体"/>
          <w:kern w:val="0"/>
          <w:sz w:val="24"/>
          <w:szCs w:val="24"/>
        </w:rPr>
        <w:t>6</w:t>
      </w:r>
      <w:r w:rsidRPr="00B36F18">
        <w:rPr>
          <w:rFonts w:ascii="仿宋" w:eastAsia="仿宋" w:hAnsi="仿宋" w:cs="宋体" w:hint="eastAsia"/>
          <w:kern w:val="0"/>
          <w:sz w:val="24"/>
          <w:szCs w:val="24"/>
        </w:rPr>
        <w:t>日。</w:t>
      </w:r>
    </w:p>
    <w:p w14:paraId="4284866E" w14:textId="77777777" w:rsidR="00B36F18" w:rsidRPr="00B36F18" w:rsidRDefault="00B36F18" w:rsidP="003919E7">
      <w:pPr>
        <w:widowControl/>
        <w:spacing w:before="100" w:beforeAutospacing="1" w:after="100" w:afterAutospacing="1"/>
        <w:ind w:firstLineChars="200" w:firstLine="482"/>
        <w:jc w:val="left"/>
        <w:rPr>
          <w:rFonts w:ascii="宋体" w:eastAsia="宋体" w:hAnsi="宋体" w:cs="宋体"/>
          <w:kern w:val="0"/>
          <w:sz w:val="24"/>
          <w:szCs w:val="24"/>
        </w:rPr>
      </w:pPr>
      <w:r w:rsidRPr="00B36F18">
        <w:rPr>
          <w:rFonts w:ascii="仿宋" w:eastAsia="仿宋" w:hAnsi="仿宋" w:cs="宋体" w:hint="eastAsia"/>
          <w:b/>
          <w:bCs/>
          <w:kern w:val="0"/>
          <w:sz w:val="24"/>
          <w:szCs w:val="24"/>
        </w:rPr>
        <w:t>五、复试安排</w:t>
      </w:r>
    </w:p>
    <w:p w14:paraId="712601D9" w14:textId="2CCC6300" w:rsidR="00B36F18" w:rsidRPr="00B36F18" w:rsidRDefault="00B36F18" w:rsidP="009C1F96">
      <w:pPr>
        <w:widowControl/>
        <w:spacing w:line="440" w:lineRule="atLeast"/>
        <w:ind w:firstLine="482"/>
        <w:rPr>
          <w:rFonts w:ascii="宋体" w:eastAsia="宋体" w:hAnsi="宋体" w:cs="宋体"/>
          <w:kern w:val="0"/>
          <w:sz w:val="24"/>
          <w:szCs w:val="24"/>
        </w:rPr>
      </w:pPr>
      <w:r w:rsidRPr="00B36F18">
        <w:rPr>
          <w:rFonts w:ascii="仿宋" w:eastAsia="仿宋" w:hAnsi="仿宋" w:cs="宋体" w:hint="eastAsia"/>
          <w:kern w:val="0"/>
          <w:sz w:val="24"/>
          <w:szCs w:val="24"/>
        </w:rPr>
        <w:t>复试均采用</w:t>
      </w:r>
      <w:r w:rsidRPr="00B36F18">
        <w:rPr>
          <w:rFonts w:ascii="仿宋" w:eastAsia="仿宋" w:hAnsi="仿宋" w:cs="宋体" w:hint="eastAsia"/>
          <w:b/>
          <w:bCs/>
          <w:kern w:val="0"/>
          <w:sz w:val="24"/>
          <w:szCs w:val="24"/>
        </w:rPr>
        <w:t>网络远程复试方式</w:t>
      </w:r>
      <w:r w:rsidRPr="00B36F18">
        <w:rPr>
          <w:rFonts w:ascii="仿宋" w:eastAsia="仿宋" w:hAnsi="仿宋" w:cs="宋体" w:hint="eastAsia"/>
          <w:kern w:val="0"/>
          <w:sz w:val="24"/>
          <w:szCs w:val="24"/>
        </w:rPr>
        <w:t>，主要采用中国高等教育学生信息网(</w:t>
      </w:r>
      <w:proofErr w:type="gramStart"/>
      <w:r w:rsidRPr="00B36F18">
        <w:rPr>
          <w:rFonts w:ascii="仿宋" w:eastAsia="仿宋" w:hAnsi="仿宋" w:cs="宋体" w:hint="eastAsia"/>
          <w:kern w:val="0"/>
          <w:sz w:val="24"/>
          <w:szCs w:val="24"/>
        </w:rPr>
        <w:t>学信网</w:t>
      </w:r>
      <w:proofErr w:type="gramEnd"/>
      <w:r w:rsidRPr="00B36F18">
        <w:rPr>
          <w:rFonts w:ascii="仿宋" w:eastAsia="仿宋" w:hAnsi="仿宋" w:cs="宋体" w:hint="eastAsia"/>
          <w:kern w:val="0"/>
          <w:sz w:val="24"/>
          <w:szCs w:val="24"/>
        </w:rPr>
        <w:t>)远程面试系统，</w:t>
      </w:r>
      <w:proofErr w:type="gramStart"/>
      <w:r w:rsidRPr="00B36F18">
        <w:rPr>
          <w:rFonts w:ascii="仿宋" w:eastAsia="仿宋" w:hAnsi="仿宋" w:cs="宋体" w:hint="eastAsia"/>
          <w:kern w:val="0"/>
          <w:sz w:val="24"/>
          <w:szCs w:val="24"/>
        </w:rPr>
        <w:t>腾讯会</w:t>
      </w:r>
      <w:proofErr w:type="gramEnd"/>
      <w:r w:rsidRPr="00B36F18">
        <w:rPr>
          <w:rFonts w:ascii="仿宋" w:eastAsia="仿宋" w:hAnsi="仿宋" w:cs="宋体" w:hint="eastAsia"/>
          <w:kern w:val="0"/>
          <w:sz w:val="24"/>
          <w:szCs w:val="24"/>
        </w:rPr>
        <w:t>议和钉钉为备选复试系统。</w:t>
      </w:r>
      <w:r w:rsidR="009E0883">
        <w:rPr>
          <w:rFonts w:ascii="仿宋" w:eastAsia="仿宋" w:hAnsi="仿宋" w:cs="宋体" w:hint="eastAsia"/>
          <w:kern w:val="0"/>
          <w:sz w:val="24"/>
          <w:szCs w:val="24"/>
        </w:rPr>
        <w:t>复试内容包括外语口语听力测试与综合测试</w:t>
      </w:r>
      <w:r w:rsidR="00492B45">
        <w:rPr>
          <w:rFonts w:ascii="仿宋" w:eastAsia="仿宋" w:hAnsi="仿宋" w:cs="宋体" w:hint="eastAsia"/>
          <w:kern w:val="0"/>
          <w:sz w:val="24"/>
          <w:szCs w:val="24"/>
        </w:rPr>
        <w:t>，</w:t>
      </w:r>
      <w:r w:rsidRPr="00B36F18">
        <w:rPr>
          <w:rFonts w:ascii="仿宋" w:eastAsia="仿宋" w:hAnsi="仿宋" w:cs="宋体" w:hint="eastAsia"/>
          <w:kern w:val="0"/>
          <w:sz w:val="24"/>
          <w:szCs w:val="24"/>
        </w:rPr>
        <w:t>复试</w:t>
      </w:r>
      <w:r w:rsidR="00492B45">
        <w:rPr>
          <w:rFonts w:ascii="仿宋" w:eastAsia="仿宋" w:hAnsi="仿宋" w:cs="宋体" w:hint="eastAsia"/>
          <w:kern w:val="0"/>
          <w:sz w:val="24"/>
          <w:szCs w:val="24"/>
        </w:rPr>
        <w:t>时间以学院通知为</w:t>
      </w:r>
      <w:r w:rsidR="00302E34">
        <w:rPr>
          <w:rFonts w:ascii="仿宋" w:eastAsia="仿宋" w:hAnsi="仿宋" w:cs="宋体" w:hint="eastAsia"/>
          <w:kern w:val="0"/>
          <w:sz w:val="24"/>
          <w:szCs w:val="24"/>
        </w:rPr>
        <w:t>准</w:t>
      </w:r>
      <w:r w:rsidRPr="00B36F18">
        <w:rPr>
          <w:rFonts w:ascii="仿宋" w:eastAsia="仿宋" w:hAnsi="仿宋" w:cs="宋体" w:hint="eastAsia"/>
          <w:kern w:val="0"/>
          <w:sz w:val="24"/>
          <w:szCs w:val="24"/>
        </w:rPr>
        <w:t>，敬请留意。</w:t>
      </w:r>
    </w:p>
    <w:p w14:paraId="5A21E481" w14:textId="77777777" w:rsidR="00B36F18" w:rsidRPr="00B36F18" w:rsidRDefault="00B36F18" w:rsidP="003919E7">
      <w:pPr>
        <w:widowControl/>
        <w:spacing w:before="100" w:beforeAutospacing="1" w:after="100" w:afterAutospacing="1"/>
        <w:ind w:firstLineChars="200" w:firstLine="482"/>
        <w:jc w:val="left"/>
        <w:rPr>
          <w:rFonts w:ascii="仿宋" w:eastAsia="仿宋" w:hAnsi="仿宋" w:cs="宋体"/>
          <w:b/>
          <w:bCs/>
          <w:kern w:val="0"/>
          <w:sz w:val="24"/>
          <w:szCs w:val="24"/>
        </w:rPr>
      </w:pPr>
      <w:r w:rsidRPr="00B36F18">
        <w:rPr>
          <w:rFonts w:ascii="仿宋" w:eastAsia="仿宋" w:hAnsi="仿宋" w:cs="宋体" w:hint="eastAsia"/>
          <w:b/>
          <w:bCs/>
          <w:kern w:val="0"/>
          <w:sz w:val="24"/>
          <w:szCs w:val="24"/>
        </w:rPr>
        <w:t>六、调剂工作联系方式</w:t>
      </w:r>
    </w:p>
    <w:p w14:paraId="614820AC" w14:textId="77777777" w:rsidR="00B36F18" w:rsidRPr="00B36F18" w:rsidRDefault="00B36F18" w:rsidP="003919E7">
      <w:pPr>
        <w:widowControl/>
        <w:spacing w:line="440" w:lineRule="atLeast"/>
        <w:ind w:firstLineChars="200" w:firstLine="480"/>
        <w:jc w:val="left"/>
        <w:rPr>
          <w:rFonts w:ascii="宋体" w:eastAsia="宋体" w:hAnsi="宋体" w:cs="宋体"/>
          <w:kern w:val="0"/>
          <w:sz w:val="24"/>
          <w:szCs w:val="24"/>
        </w:rPr>
      </w:pPr>
      <w:r w:rsidRPr="00B36F18">
        <w:rPr>
          <w:rFonts w:ascii="仿宋" w:eastAsia="仿宋" w:hAnsi="仿宋" w:cs="宋体" w:hint="eastAsia"/>
          <w:kern w:val="0"/>
          <w:sz w:val="24"/>
          <w:szCs w:val="24"/>
        </w:rPr>
        <w:t>联系人：张老师</w:t>
      </w:r>
    </w:p>
    <w:p w14:paraId="271A5155" w14:textId="74848B57" w:rsidR="00B36F18" w:rsidRDefault="00B36F18" w:rsidP="003919E7">
      <w:pPr>
        <w:widowControl/>
        <w:spacing w:line="440" w:lineRule="atLeast"/>
        <w:ind w:firstLineChars="200" w:firstLine="480"/>
        <w:jc w:val="left"/>
        <w:rPr>
          <w:rFonts w:ascii="仿宋" w:eastAsia="仿宋" w:hAnsi="仿宋" w:cs="宋体"/>
          <w:kern w:val="0"/>
          <w:sz w:val="24"/>
          <w:szCs w:val="24"/>
        </w:rPr>
      </w:pPr>
      <w:r w:rsidRPr="00B36F18">
        <w:rPr>
          <w:rFonts w:ascii="仿宋" w:eastAsia="仿宋" w:hAnsi="仿宋" w:cs="宋体" w:hint="eastAsia"/>
          <w:kern w:val="0"/>
          <w:sz w:val="24"/>
          <w:szCs w:val="24"/>
        </w:rPr>
        <w:t>电话：0791-88120367</w:t>
      </w:r>
    </w:p>
    <w:p w14:paraId="1BE26E23" w14:textId="59CC8AE4" w:rsidR="00215CA4" w:rsidRPr="00215CA4" w:rsidRDefault="00215CA4" w:rsidP="003919E7">
      <w:pPr>
        <w:widowControl/>
        <w:spacing w:line="440" w:lineRule="atLeast"/>
        <w:ind w:firstLineChars="200" w:firstLine="480"/>
        <w:jc w:val="left"/>
        <w:rPr>
          <w:rFonts w:ascii="宋体" w:eastAsia="宋体" w:hAnsi="宋体" w:cs="宋体"/>
          <w:kern w:val="0"/>
          <w:sz w:val="24"/>
          <w:szCs w:val="24"/>
        </w:rPr>
      </w:pPr>
      <w:r w:rsidRPr="00215CA4">
        <w:rPr>
          <w:rFonts w:ascii="仿宋" w:eastAsia="仿宋" w:hAnsi="仿宋" w:cs="宋体" w:hint="eastAsia"/>
          <w:kern w:val="0"/>
          <w:sz w:val="24"/>
          <w:szCs w:val="24"/>
        </w:rPr>
        <w:t>QQ群：</w:t>
      </w:r>
      <w:r w:rsidRPr="00215CA4">
        <w:rPr>
          <w:rFonts w:ascii="仿宋" w:eastAsia="仿宋" w:hAnsi="仿宋" w:cs="宋体"/>
          <w:kern w:val="0"/>
          <w:sz w:val="24"/>
          <w:szCs w:val="24"/>
        </w:rPr>
        <w:t>675385488</w:t>
      </w:r>
    </w:p>
    <w:p w14:paraId="37AF0478" w14:textId="77777777" w:rsidR="00B36F18" w:rsidRPr="00B36F18" w:rsidRDefault="00B36F18" w:rsidP="003919E7">
      <w:pPr>
        <w:widowControl/>
        <w:spacing w:before="100" w:beforeAutospacing="1" w:after="100" w:afterAutospacing="1"/>
        <w:ind w:firstLineChars="200" w:firstLine="482"/>
        <w:jc w:val="left"/>
        <w:rPr>
          <w:rFonts w:ascii="宋体" w:eastAsia="宋体" w:hAnsi="宋体" w:cs="宋体"/>
          <w:kern w:val="0"/>
          <w:sz w:val="24"/>
          <w:szCs w:val="24"/>
        </w:rPr>
      </w:pPr>
      <w:r w:rsidRPr="00B36F18">
        <w:rPr>
          <w:rFonts w:ascii="仿宋" w:eastAsia="仿宋" w:hAnsi="仿宋" w:cs="宋体" w:hint="eastAsia"/>
          <w:b/>
          <w:bCs/>
          <w:kern w:val="0"/>
          <w:sz w:val="24"/>
          <w:szCs w:val="24"/>
        </w:rPr>
        <w:t>七、数学与统计学院简介</w:t>
      </w:r>
    </w:p>
    <w:p w14:paraId="7FC7C123" w14:textId="77777777" w:rsidR="00492B45" w:rsidRPr="00492B45" w:rsidRDefault="00492B45" w:rsidP="003919E7">
      <w:pPr>
        <w:spacing w:line="440" w:lineRule="exact"/>
        <w:ind w:firstLineChars="200" w:firstLine="480"/>
        <w:rPr>
          <w:rFonts w:ascii="仿宋" w:eastAsia="仿宋" w:hAnsi="仿宋" w:cs="宋体"/>
          <w:kern w:val="0"/>
          <w:sz w:val="24"/>
          <w:szCs w:val="24"/>
        </w:rPr>
      </w:pPr>
      <w:r w:rsidRPr="00492B45">
        <w:rPr>
          <w:rFonts w:ascii="仿宋" w:eastAsia="仿宋" w:hAnsi="仿宋" w:cs="宋体" w:hint="eastAsia"/>
          <w:kern w:val="0"/>
          <w:sz w:val="24"/>
          <w:szCs w:val="24"/>
        </w:rPr>
        <w:t>江西师范大学数学与统计学院肇始于1946年创建的国立中正大学理学院数学系，1949年更名为南昌大学数学系，1953年改为江西师范学院数学系，1996年更名为江西师范大学数学与信息科学学院，2020年更名为江西师范大学数学与统计学院。学院下设数学系、统计系、信息与计算科学系、数学研究所、信息工程研究所、实验中心和《中学数学研究》杂志编辑部。</w:t>
      </w:r>
    </w:p>
    <w:p w14:paraId="2D495BB2" w14:textId="77777777" w:rsidR="00492B45" w:rsidRPr="00492B45" w:rsidRDefault="00492B45" w:rsidP="003919E7">
      <w:pPr>
        <w:spacing w:line="440" w:lineRule="exact"/>
        <w:ind w:firstLineChars="200" w:firstLine="480"/>
        <w:rPr>
          <w:rFonts w:ascii="仿宋" w:eastAsia="仿宋" w:hAnsi="仿宋" w:cs="宋体"/>
          <w:kern w:val="0"/>
          <w:sz w:val="24"/>
          <w:szCs w:val="24"/>
        </w:rPr>
      </w:pPr>
      <w:r w:rsidRPr="00492B45">
        <w:rPr>
          <w:rFonts w:ascii="仿宋" w:eastAsia="仿宋" w:hAnsi="仿宋" w:cs="宋体" w:hint="eastAsia"/>
          <w:kern w:val="0"/>
          <w:sz w:val="24"/>
          <w:szCs w:val="24"/>
        </w:rPr>
        <w:t>学院设有数学与应用数学、信息与计算科学、统计学、经济统计四个本科专业，其中数学与应用数学和统计学两个专业在江西省普通高等学校本科专业综合评价中均排名第一，数学与应用数学专业为国家首批一流建设专业，同时也是江西省纳入省财经专项支持的二十个优势专业之一（省一流专业）。</w:t>
      </w:r>
    </w:p>
    <w:p w14:paraId="724F786E" w14:textId="77777777" w:rsidR="00492B45" w:rsidRPr="00492B45" w:rsidRDefault="00492B45" w:rsidP="003919E7">
      <w:pPr>
        <w:spacing w:line="440" w:lineRule="exact"/>
        <w:ind w:firstLineChars="200" w:firstLine="480"/>
        <w:rPr>
          <w:rFonts w:ascii="仿宋" w:eastAsia="仿宋" w:hAnsi="仿宋" w:cs="宋体"/>
          <w:kern w:val="0"/>
          <w:sz w:val="24"/>
          <w:szCs w:val="24"/>
        </w:rPr>
      </w:pPr>
      <w:r w:rsidRPr="00492B45">
        <w:rPr>
          <w:rFonts w:ascii="仿宋" w:eastAsia="仿宋" w:hAnsi="仿宋" w:cs="宋体" w:hint="eastAsia"/>
          <w:kern w:val="0"/>
          <w:sz w:val="24"/>
          <w:szCs w:val="24"/>
        </w:rPr>
        <w:t>学院是江西省数学学科联盟牵头单位，拥有数学一级学科博士学位授权点，以及数学和统计学两个一级学科硕士学位授权点，另有学科教学（数学）教育硕士专业学位授权点。数学学科连续二十五年为江西省重点学科，在教育部第四轮学科评估进入B类，数学一级学科硕士点自2006年起为江西省示范性硕士点。</w:t>
      </w:r>
    </w:p>
    <w:p w14:paraId="6DCBF9B6" w14:textId="77777777" w:rsidR="00492B45" w:rsidRPr="00492B45" w:rsidRDefault="00492B45" w:rsidP="003919E7">
      <w:pPr>
        <w:spacing w:line="440" w:lineRule="exact"/>
        <w:ind w:firstLineChars="200" w:firstLine="480"/>
        <w:rPr>
          <w:rFonts w:ascii="仿宋" w:eastAsia="仿宋" w:hAnsi="仿宋" w:cs="宋体"/>
          <w:kern w:val="0"/>
          <w:sz w:val="24"/>
          <w:szCs w:val="24"/>
        </w:rPr>
      </w:pPr>
      <w:r w:rsidRPr="00492B45">
        <w:rPr>
          <w:rFonts w:ascii="Calibri" w:eastAsia="仿宋" w:hAnsi="Calibri" w:cs="Calibri"/>
          <w:kern w:val="0"/>
          <w:sz w:val="24"/>
          <w:szCs w:val="24"/>
        </w:rPr>
        <w:lastRenderedPageBreak/>
        <w:t> </w:t>
      </w:r>
      <w:r w:rsidRPr="00492B45">
        <w:rPr>
          <w:rFonts w:ascii="仿宋" w:eastAsia="仿宋" w:hAnsi="仿宋" w:cs="宋体" w:hint="eastAsia"/>
          <w:kern w:val="0"/>
          <w:sz w:val="24"/>
          <w:szCs w:val="24"/>
        </w:rPr>
        <w:t>学院拥有实力雄厚的师资队伍。现有教职工106人，其中专任教师90人，教授22人，副教授42人，博士64人，具有博士学位以上教师比例高达70%以上 ，博士生导师13人，硕士生导师51人，国家有突出贡献的中青年专家2人，国务院特殊津贴获得者4人，中科院百人计划项目实施者1人，省“双千计划”入选者2人，德国洪</w:t>
      </w:r>
      <w:proofErr w:type="gramStart"/>
      <w:r w:rsidRPr="00492B45">
        <w:rPr>
          <w:rFonts w:ascii="仿宋" w:eastAsia="仿宋" w:hAnsi="仿宋" w:cs="宋体" w:hint="eastAsia"/>
          <w:kern w:val="0"/>
          <w:sz w:val="24"/>
          <w:szCs w:val="24"/>
        </w:rPr>
        <w:t>堡学者</w:t>
      </w:r>
      <w:proofErr w:type="gramEnd"/>
      <w:r w:rsidRPr="00492B45">
        <w:rPr>
          <w:rFonts w:ascii="仿宋" w:eastAsia="仿宋" w:hAnsi="仿宋" w:cs="宋体" w:hint="eastAsia"/>
          <w:kern w:val="0"/>
          <w:sz w:val="24"/>
          <w:szCs w:val="24"/>
        </w:rPr>
        <w:t>2人，赣鄱英才555工程入选者3人，江西省主要学科学术和技术带头人1人，江西省青年科学家培养对象（</w:t>
      </w:r>
      <w:proofErr w:type="gramStart"/>
      <w:r w:rsidRPr="00492B45">
        <w:rPr>
          <w:rFonts w:ascii="仿宋" w:eastAsia="仿宋" w:hAnsi="仿宋" w:cs="宋体" w:hint="eastAsia"/>
          <w:kern w:val="0"/>
          <w:sz w:val="24"/>
          <w:szCs w:val="24"/>
        </w:rPr>
        <w:t>省杰</w:t>
      </w:r>
      <w:proofErr w:type="gramEnd"/>
      <w:r w:rsidRPr="00492B45">
        <w:rPr>
          <w:rFonts w:ascii="仿宋" w:eastAsia="仿宋" w:hAnsi="仿宋" w:cs="宋体" w:hint="eastAsia"/>
          <w:kern w:val="0"/>
          <w:sz w:val="24"/>
          <w:szCs w:val="24"/>
        </w:rPr>
        <w:t>青）6人，江西省新世纪百千万人才工程入选者5人，江西省高校中青年学科带头人6人，江西省教学名师1人，江西省金牌教师1人，江西省高校中青年骨干教师5人。</w:t>
      </w:r>
    </w:p>
    <w:p w14:paraId="4537AEBB" w14:textId="77777777" w:rsidR="00492B45" w:rsidRPr="00492B45" w:rsidRDefault="00492B45" w:rsidP="003919E7">
      <w:pPr>
        <w:spacing w:line="440" w:lineRule="exact"/>
        <w:ind w:firstLineChars="200" w:firstLine="480"/>
        <w:rPr>
          <w:rFonts w:ascii="仿宋" w:eastAsia="仿宋" w:hAnsi="仿宋" w:cs="宋体"/>
          <w:kern w:val="0"/>
          <w:sz w:val="24"/>
          <w:szCs w:val="24"/>
        </w:rPr>
      </w:pPr>
      <w:r w:rsidRPr="00492B45">
        <w:rPr>
          <w:rFonts w:ascii="Calibri" w:eastAsia="仿宋" w:hAnsi="Calibri" w:cs="Calibri"/>
          <w:kern w:val="0"/>
          <w:sz w:val="24"/>
          <w:szCs w:val="24"/>
        </w:rPr>
        <w:t> </w:t>
      </w:r>
      <w:r w:rsidRPr="00492B45">
        <w:rPr>
          <w:rFonts w:ascii="仿宋" w:eastAsia="仿宋" w:hAnsi="仿宋" w:cs="宋体" w:hint="eastAsia"/>
          <w:kern w:val="0"/>
          <w:sz w:val="24"/>
          <w:szCs w:val="24"/>
        </w:rPr>
        <w:t>近五年来，我院教师获</w:t>
      </w:r>
      <w:proofErr w:type="gramStart"/>
      <w:r w:rsidRPr="00492B45">
        <w:rPr>
          <w:rFonts w:ascii="仿宋" w:eastAsia="仿宋" w:hAnsi="仿宋" w:cs="宋体" w:hint="eastAsia"/>
          <w:kern w:val="0"/>
          <w:sz w:val="24"/>
          <w:szCs w:val="24"/>
        </w:rPr>
        <w:t>批国家</w:t>
      </w:r>
      <w:proofErr w:type="gramEnd"/>
      <w:r w:rsidRPr="00492B45">
        <w:rPr>
          <w:rFonts w:ascii="仿宋" w:eastAsia="仿宋" w:hAnsi="仿宋" w:cs="宋体" w:hint="eastAsia"/>
          <w:kern w:val="0"/>
          <w:sz w:val="24"/>
          <w:szCs w:val="24"/>
        </w:rPr>
        <w:t>自然科学基金项目49项，省、厅级科研项目140余项，囊括了全省数学学科50%以上的省重点项目，纵向到账经费2200多万元；在Duke Mathematical Journal等期刊发表学术论文近600篇，其中被SCI收录超过300篇；荣获江西省自然科学奖二等奖等科研奖励多项。</w:t>
      </w:r>
    </w:p>
    <w:p w14:paraId="08E71A6A" w14:textId="77777777" w:rsidR="00B36F18" w:rsidRPr="00B36F18" w:rsidRDefault="00B36F18" w:rsidP="00B36F18">
      <w:pPr>
        <w:widowControl/>
        <w:spacing w:before="100" w:beforeAutospacing="1" w:line="360" w:lineRule="auto"/>
        <w:jc w:val="left"/>
        <w:rPr>
          <w:rFonts w:ascii="宋体" w:eastAsia="宋体" w:hAnsi="宋体" w:cs="宋体"/>
          <w:kern w:val="0"/>
          <w:sz w:val="24"/>
          <w:szCs w:val="24"/>
        </w:rPr>
      </w:pPr>
      <w:r w:rsidRPr="00B36F18">
        <w:rPr>
          <w:rFonts w:ascii="楷体" w:eastAsia="楷体" w:hAnsi="楷体" w:cs="宋体" w:hint="eastAsia"/>
          <w:kern w:val="0"/>
          <w:sz w:val="30"/>
          <w:szCs w:val="30"/>
        </w:rPr>
        <w:t>江西师范大学数学与统计学院热忱欢迎莘莘学子来院学习！</w:t>
      </w:r>
    </w:p>
    <w:p w14:paraId="029199D2" w14:textId="77777777" w:rsidR="00301A11" w:rsidRPr="00B36F18" w:rsidRDefault="00301A11"/>
    <w:sectPr w:rsidR="00301A11" w:rsidRPr="00B36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81F6D" w14:textId="77777777" w:rsidR="00517366" w:rsidRDefault="00517366" w:rsidP="00B36F18">
      <w:r>
        <w:separator/>
      </w:r>
    </w:p>
  </w:endnote>
  <w:endnote w:type="continuationSeparator" w:id="0">
    <w:p w14:paraId="1FA1F8FB" w14:textId="77777777" w:rsidR="00517366" w:rsidRDefault="00517366" w:rsidP="00B3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E1264" w14:textId="77777777" w:rsidR="00517366" w:rsidRDefault="00517366" w:rsidP="00B36F18">
      <w:r>
        <w:separator/>
      </w:r>
    </w:p>
  </w:footnote>
  <w:footnote w:type="continuationSeparator" w:id="0">
    <w:p w14:paraId="40FB87E0" w14:textId="77777777" w:rsidR="00517366" w:rsidRDefault="00517366" w:rsidP="00B3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099A"/>
    <w:multiLevelType w:val="multilevel"/>
    <w:tmpl w:val="F10C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A"/>
    <w:rsid w:val="000C1816"/>
    <w:rsid w:val="00146F9F"/>
    <w:rsid w:val="00166078"/>
    <w:rsid w:val="00215CA4"/>
    <w:rsid w:val="00301A11"/>
    <w:rsid w:val="00302E34"/>
    <w:rsid w:val="00333AA5"/>
    <w:rsid w:val="003919E7"/>
    <w:rsid w:val="00395C0D"/>
    <w:rsid w:val="00432FA4"/>
    <w:rsid w:val="00450740"/>
    <w:rsid w:val="00492B45"/>
    <w:rsid w:val="00517366"/>
    <w:rsid w:val="00972D7A"/>
    <w:rsid w:val="009C1F96"/>
    <w:rsid w:val="009C4488"/>
    <w:rsid w:val="009E0883"/>
    <w:rsid w:val="00A87DA4"/>
    <w:rsid w:val="00B36F18"/>
    <w:rsid w:val="00B67D96"/>
    <w:rsid w:val="00BB1F5C"/>
    <w:rsid w:val="00C630FA"/>
    <w:rsid w:val="00D00ED5"/>
    <w:rsid w:val="00D6436A"/>
    <w:rsid w:val="00DA0744"/>
    <w:rsid w:val="00F7224E"/>
    <w:rsid w:val="00F74B0C"/>
    <w:rsid w:val="00FB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0F07"/>
  <w15:chartTrackingRefBased/>
  <w15:docId w15:val="{0133D70C-C8C0-4124-96AE-4ED2A5F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B36F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F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F18"/>
    <w:rPr>
      <w:sz w:val="18"/>
      <w:szCs w:val="18"/>
    </w:rPr>
  </w:style>
  <w:style w:type="paragraph" w:styleId="a5">
    <w:name w:val="footer"/>
    <w:basedOn w:val="a"/>
    <w:link w:val="a6"/>
    <w:uiPriority w:val="99"/>
    <w:unhideWhenUsed/>
    <w:rsid w:val="00B36F18"/>
    <w:pPr>
      <w:tabs>
        <w:tab w:val="center" w:pos="4153"/>
        <w:tab w:val="right" w:pos="8306"/>
      </w:tabs>
      <w:snapToGrid w:val="0"/>
      <w:jc w:val="left"/>
    </w:pPr>
    <w:rPr>
      <w:sz w:val="18"/>
      <w:szCs w:val="18"/>
    </w:rPr>
  </w:style>
  <w:style w:type="character" w:customStyle="1" w:styleId="a6">
    <w:name w:val="页脚 字符"/>
    <w:basedOn w:val="a0"/>
    <w:link w:val="a5"/>
    <w:uiPriority w:val="99"/>
    <w:rsid w:val="00B36F18"/>
    <w:rPr>
      <w:sz w:val="18"/>
      <w:szCs w:val="18"/>
    </w:rPr>
  </w:style>
  <w:style w:type="character" w:customStyle="1" w:styleId="30">
    <w:name w:val="标题 3 字符"/>
    <w:basedOn w:val="a0"/>
    <w:link w:val="3"/>
    <w:uiPriority w:val="9"/>
    <w:rsid w:val="00B36F18"/>
    <w:rPr>
      <w:rFonts w:ascii="宋体" w:eastAsia="宋体" w:hAnsi="宋体" w:cs="宋体"/>
      <w:b/>
      <w:bCs/>
      <w:kern w:val="0"/>
      <w:sz w:val="27"/>
      <w:szCs w:val="27"/>
    </w:rPr>
  </w:style>
  <w:style w:type="character" w:customStyle="1" w:styleId="articletitle">
    <w:name w:val="article_title"/>
    <w:basedOn w:val="a0"/>
    <w:rsid w:val="00B36F18"/>
  </w:style>
  <w:style w:type="character" w:customStyle="1" w:styleId="articlepublishdate">
    <w:name w:val="article_publishdate"/>
    <w:basedOn w:val="a0"/>
    <w:rsid w:val="00B36F18"/>
  </w:style>
  <w:style w:type="character" w:customStyle="1" w:styleId="wpvisitcount">
    <w:name w:val="wp_visitcount"/>
    <w:basedOn w:val="a0"/>
    <w:rsid w:val="00B36F18"/>
  </w:style>
  <w:style w:type="paragraph" w:styleId="a7">
    <w:name w:val="Normal (Web)"/>
    <w:basedOn w:val="a"/>
    <w:uiPriority w:val="99"/>
    <w:semiHidden/>
    <w:unhideWhenUsed/>
    <w:rsid w:val="00B36F18"/>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B36F1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36F18"/>
    <w:rPr>
      <w:b/>
      <w:bCs/>
    </w:rPr>
  </w:style>
  <w:style w:type="table" w:styleId="a9">
    <w:name w:val="Table Grid"/>
    <w:basedOn w:val="a1"/>
    <w:uiPriority w:val="39"/>
    <w:rsid w:val="00B36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2547">
      <w:bodyDiv w:val="1"/>
      <w:marLeft w:val="0"/>
      <w:marRight w:val="0"/>
      <w:marTop w:val="0"/>
      <w:marBottom w:val="0"/>
      <w:divBdr>
        <w:top w:val="none" w:sz="0" w:space="0" w:color="auto"/>
        <w:left w:val="none" w:sz="0" w:space="0" w:color="auto"/>
        <w:bottom w:val="none" w:sz="0" w:space="0" w:color="auto"/>
        <w:right w:val="none" w:sz="0" w:space="0" w:color="auto"/>
      </w:divBdr>
    </w:div>
    <w:div w:id="166749042">
      <w:bodyDiv w:val="1"/>
      <w:marLeft w:val="0"/>
      <w:marRight w:val="0"/>
      <w:marTop w:val="0"/>
      <w:marBottom w:val="0"/>
      <w:divBdr>
        <w:top w:val="none" w:sz="0" w:space="0" w:color="auto"/>
        <w:left w:val="none" w:sz="0" w:space="0" w:color="auto"/>
        <w:bottom w:val="none" w:sz="0" w:space="0" w:color="auto"/>
        <w:right w:val="none" w:sz="0" w:space="0" w:color="auto"/>
      </w:divBdr>
      <w:divsChild>
        <w:div w:id="1724713171">
          <w:marLeft w:val="0"/>
          <w:marRight w:val="0"/>
          <w:marTop w:val="0"/>
          <w:marBottom w:val="0"/>
          <w:divBdr>
            <w:top w:val="none" w:sz="0" w:space="0" w:color="auto"/>
            <w:left w:val="none" w:sz="0" w:space="0" w:color="auto"/>
            <w:bottom w:val="none" w:sz="0" w:space="0" w:color="auto"/>
            <w:right w:val="none" w:sz="0" w:space="0" w:color="auto"/>
          </w:divBdr>
          <w:divsChild>
            <w:div w:id="1372144517">
              <w:marLeft w:val="0"/>
              <w:marRight w:val="0"/>
              <w:marTop w:val="0"/>
              <w:marBottom w:val="0"/>
              <w:divBdr>
                <w:top w:val="none" w:sz="0" w:space="0" w:color="auto"/>
                <w:left w:val="none" w:sz="0" w:space="0" w:color="auto"/>
                <w:bottom w:val="none" w:sz="0" w:space="0" w:color="auto"/>
                <w:right w:val="none" w:sz="0" w:space="0" w:color="auto"/>
              </w:divBdr>
              <w:divsChild>
                <w:div w:id="12710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王泽佳</dc:creator>
  <cp:keywords/>
  <dc:description/>
  <cp:lastModifiedBy>zhang</cp:lastModifiedBy>
  <cp:revision>19</cp:revision>
  <dcterms:created xsi:type="dcterms:W3CDTF">2022-04-05T12:39:00Z</dcterms:created>
  <dcterms:modified xsi:type="dcterms:W3CDTF">2022-04-06T02:39:00Z</dcterms:modified>
</cp:coreProperties>
</file>