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6A4" w:rsidRDefault="00CD49D2">
      <w:pPr>
        <w:pStyle w:val="1"/>
        <w:widowControl/>
        <w:spacing w:before="0" w:after="440" w:line="400" w:lineRule="exact"/>
        <w:jc w:val="center"/>
        <w:rPr>
          <w:rFonts w:ascii="微软雅黑" w:eastAsia="微软雅黑" w:hint="default"/>
          <w:sz w:val="30"/>
        </w:rPr>
      </w:pPr>
      <w:r>
        <w:rPr>
          <w:rFonts w:ascii="微软雅黑" w:eastAsia="微软雅黑"/>
          <w:sz w:val="30"/>
        </w:rPr>
        <w:t>江西师范大学</w:t>
      </w:r>
      <w:r>
        <w:rPr>
          <w:rFonts w:ascii="微软雅黑" w:eastAsia="微软雅黑"/>
          <w:sz w:val="30"/>
        </w:rPr>
        <w:t>城市建设学院</w:t>
      </w:r>
      <w:r>
        <w:rPr>
          <w:rFonts w:ascii="微软雅黑" w:eastAsia="微软雅黑"/>
          <w:sz w:val="30"/>
        </w:rPr>
        <w:t>202</w:t>
      </w:r>
      <w:r>
        <w:rPr>
          <w:rFonts w:ascii="微软雅黑" w:eastAsia="微软雅黑"/>
          <w:sz w:val="30"/>
        </w:rPr>
        <w:t>2</w:t>
      </w:r>
      <w:r>
        <w:rPr>
          <w:rFonts w:ascii="微软雅黑" w:eastAsia="微软雅黑"/>
          <w:sz w:val="30"/>
        </w:rPr>
        <w:t>年硕士研究生</w:t>
      </w:r>
      <w:r>
        <w:rPr>
          <w:rFonts w:ascii="微软雅黑" w:eastAsia="微软雅黑"/>
          <w:sz w:val="30"/>
        </w:rPr>
        <w:t>招生</w:t>
      </w:r>
      <w:r>
        <w:rPr>
          <w:rFonts w:ascii="微软雅黑" w:eastAsia="微软雅黑"/>
          <w:sz w:val="30"/>
        </w:rPr>
        <w:t>调剂公告</w:t>
      </w:r>
    </w:p>
    <w:p w:rsidR="005826A4" w:rsidRDefault="00CD49D2">
      <w:pPr>
        <w:pStyle w:val="a3"/>
        <w:spacing w:line="400" w:lineRule="exact"/>
        <w:ind w:left="0" w:right="110" w:firstLineChars="200" w:firstLine="560"/>
        <w:rPr>
          <w:rFonts w:ascii="新宋体" w:eastAsia="新宋体" w:hAnsi="新宋体" w:cs="新宋体"/>
          <w:color w:val="000000"/>
          <w:sz w:val="27"/>
          <w:szCs w:val="27"/>
          <w:shd w:val="clear" w:color="auto" w:fill="FFFFFF"/>
        </w:rPr>
      </w:pPr>
      <w:r>
        <w:rPr>
          <w:rFonts w:ascii="Times New Roman" w:eastAsia="微软雅黑" w:hAnsi="Times New Roman" w:hint="eastAsia"/>
          <w:b/>
          <w:sz w:val="28"/>
        </w:rPr>
        <w:t>一、城市建设学院</w:t>
      </w:r>
      <w:r>
        <w:rPr>
          <w:rFonts w:ascii="Times New Roman" w:eastAsia="微软雅黑" w:hAnsi="Times New Roman" w:hint="eastAsia"/>
          <w:b/>
          <w:sz w:val="28"/>
        </w:rPr>
        <w:t>简介</w:t>
      </w:r>
    </w:p>
    <w:p w:rsidR="005826A4" w:rsidRDefault="00CD49D2">
      <w:pPr>
        <w:pStyle w:val="a3"/>
        <w:spacing w:line="360" w:lineRule="auto"/>
        <w:ind w:left="0" w:right="110" w:firstLineChars="200" w:firstLine="540"/>
        <w:rPr>
          <w:rFonts w:ascii="新宋体" w:eastAsia="新宋体" w:hAnsi="新宋体" w:cs="新宋体"/>
          <w:color w:val="000000"/>
          <w:sz w:val="27"/>
          <w:szCs w:val="27"/>
          <w:shd w:val="clear" w:color="auto" w:fill="FFFFFF"/>
        </w:rPr>
      </w:pPr>
      <w:r>
        <w:rPr>
          <w:rFonts w:ascii="新宋体" w:eastAsia="新宋体" w:hAnsi="新宋体" w:cs="新宋体"/>
          <w:color w:val="000000"/>
          <w:sz w:val="27"/>
          <w:szCs w:val="27"/>
          <w:shd w:val="clear" w:color="auto" w:fill="FFFFFF"/>
        </w:rPr>
        <w:t>城市建设学院是江西师范大学直属学院，成立于</w:t>
      </w:r>
      <w:r>
        <w:rPr>
          <w:rFonts w:ascii="新宋体" w:eastAsia="新宋体" w:hAnsi="新宋体" w:cs="新宋体"/>
          <w:color w:val="000000"/>
          <w:sz w:val="27"/>
          <w:szCs w:val="27"/>
          <w:shd w:val="clear" w:color="auto" w:fill="FFFFFF"/>
        </w:rPr>
        <w:t>2003</w:t>
      </w:r>
      <w:r>
        <w:rPr>
          <w:rFonts w:ascii="新宋体" w:eastAsia="新宋体" w:hAnsi="新宋体" w:cs="新宋体"/>
          <w:color w:val="000000"/>
          <w:sz w:val="27"/>
          <w:szCs w:val="27"/>
          <w:shd w:val="clear" w:color="auto" w:fill="FFFFFF"/>
        </w:rPr>
        <w:t>年</w:t>
      </w:r>
      <w:r>
        <w:rPr>
          <w:rFonts w:ascii="新宋体" w:eastAsia="新宋体" w:hAnsi="新宋体" w:cs="新宋体"/>
          <w:color w:val="000000"/>
          <w:sz w:val="27"/>
          <w:szCs w:val="27"/>
          <w:shd w:val="clear" w:color="auto" w:fill="FFFFFF"/>
        </w:rPr>
        <w:t>7</w:t>
      </w:r>
      <w:r>
        <w:rPr>
          <w:rFonts w:ascii="新宋体" w:eastAsia="新宋体" w:hAnsi="新宋体" w:cs="新宋体"/>
          <w:color w:val="000000"/>
          <w:sz w:val="27"/>
          <w:szCs w:val="27"/>
          <w:shd w:val="clear" w:color="auto" w:fill="FFFFFF"/>
        </w:rPr>
        <w:t>月，是在江西师范大学城市与环境学院的房地产经营与管理、城市规划专业的基础上重新组建的学院。学院的办学渊源可追溯至</w:t>
      </w:r>
      <w:r>
        <w:rPr>
          <w:rFonts w:ascii="新宋体" w:eastAsia="新宋体" w:hAnsi="新宋体" w:cs="新宋体"/>
          <w:color w:val="000000"/>
          <w:sz w:val="27"/>
          <w:szCs w:val="27"/>
          <w:shd w:val="clear" w:color="auto" w:fill="FFFFFF"/>
        </w:rPr>
        <w:t>1940</w:t>
      </w:r>
      <w:r>
        <w:rPr>
          <w:rFonts w:ascii="新宋体" w:eastAsia="新宋体" w:hAnsi="新宋体" w:cs="新宋体"/>
          <w:color w:val="000000"/>
          <w:sz w:val="27"/>
          <w:szCs w:val="27"/>
          <w:shd w:val="clear" w:color="auto" w:fill="FFFFFF"/>
        </w:rPr>
        <w:t>年国立中正大学（江西师范大学的前身）的土木工程系及</w:t>
      </w:r>
      <w:r>
        <w:rPr>
          <w:rFonts w:ascii="新宋体" w:eastAsia="新宋体" w:hAnsi="新宋体" w:cs="新宋体"/>
          <w:color w:val="000000"/>
          <w:sz w:val="27"/>
          <w:szCs w:val="27"/>
          <w:shd w:val="clear" w:color="auto" w:fill="FFFFFF"/>
        </w:rPr>
        <w:t>1949</w:t>
      </w:r>
      <w:r>
        <w:rPr>
          <w:rFonts w:ascii="新宋体" w:eastAsia="新宋体" w:hAnsi="新宋体" w:cs="新宋体"/>
          <w:color w:val="000000"/>
          <w:sz w:val="27"/>
          <w:szCs w:val="27"/>
          <w:shd w:val="clear" w:color="auto" w:fill="FFFFFF"/>
        </w:rPr>
        <w:t>年南昌大学的土木工程系。</w:t>
      </w:r>
    </w:p>
    <w:p w:rsidR="00CD49D2" w:rsidRDefault="00CD49D2">
      <w:pPr>
        <w:pStyle w:val="a3"/>
        <w:spacing w:line="360" w:lineRule="auto"/>
        <w:ind w:left="0" w:right="110" w:firstLineChars="200" w:firstLine="540"/>
        <w:rPr>
          <w:rFonts w:ascii="新宋体" w:eastAsia="新宋体" w:hAnsi="新宋体" w:cs="新宋体" w:hint="eastAsia"/>
          <w:color w:val="000000"/>
          <w:sz w:val="27"/>
          <w:szCs w:val="27"/>
          <w:shd w:val="clear" w:color="auto" w:fill="FFFFFF"/>
        </w:rPr>
      </w:pPr>
      <w:r>
        <w:rPr>
          <w:rFonts w:ascii="新宋体" w:eastAsia="新宋体" w:hAnsi="新宋体" w:cs="新宋体" w:hint="eastAsia"/>
          <w:color w:val="000000"/>
          <w:sz w:val="27"/>
          <w:szCs w:val="27"/>
          <w:shd w:val="clear" w:color="auto" w:fill="FFFFFF"/>
        </w:rPr>
        <w:t>学院现有城乡规划、建筑学、房地产开发与管理、工程</w:t>
      </w:r>
      <w:proofErr w:type="gramStart"/>
      <w:r>
        <w:rPr>
          <w:rFonts w:ascii="新宋体" w:eastAsia="新宋体" w:hAnsi="新宋体" w:cs="新宋体" w:hint="eastAsia"/>
          <w:color w:val="000000"/>
          <w:sz w:val="27"/>
          <w:szCs w:val="27"/>
          <w:shd w:val="clear" w:color="auto" w:fill="FFFFFF"/>
        </w:rPr>
        <w:t>管理共</w:t>
      </w:r>
      <w:proofErr w:type="gramEnd"/>
      <w:r>
        <w:rPr>
          <w:rFonts w:ascii="新宋体" w:eastAsia="新宋体" w:hAnsi="新宋体" w:cs="新宋体" w:hint="eastAsia"/>
          <w:color w:val="000000"/>
          <w:sz w:val="27"/>
          <w:szCs w:val="27"/>
          <w:shd w:val="clear" w:color="auto" w:fill="FFFFFF"/>
        </w:rPr>
        <w:t>四个本科专业，其中城乡规划专业通过住建部专业评估；有城乡规划一级学科硕士点一个，土地资源管理、城市与区域规划、房地产开发与管理等二级学科硕士点三个，学校有管理科学与工程一级学科硕士点和博士点。经过长期的发展，目前学院形成了覆盖“土地资源管理→城乡规划→建筑设计→地产开发→工程管理”全过程的学科体系。江西师大城市规划设计研究院（</w:t>
      </w:r>
      <w:proofErr w:type="gramStart"/>
      <w:r>
        <w:rPr>
          <w:rFonts w:ascii="新宋体" w:eastAsia="新宋体" w:hAnsi="新宋体" w:cs="新宋体" w:hint="eastAsia"/>
          <w:color w:val="000000"/>
          <w:sz w:val="27"/>
          <w:szCs w:val="27"/>
          <w:shd w:val="clear" w:color="auto" w:fill="FFFFFF"/>
        </w:rPr>
        <w:t>含工程</w:t>
      </w:r>
      <w:proofErr w:type="gramEnd"/>
      <w:r>
        <w:rPr>
          <w:rFonts w:ascii="新宋体" w:eastAsia="新宋体" w:hAnsi="新宋体" w:cs="新宋体" w:hint="eastAsia"/>
          <w:color w:val="000000"/>
          <w:sz w:val="27"/>
          <w:szCs w:val="27"/>
          <w:shd w:val="clear" w:color="auto" w:fill="FFFFFF"/>
        </w:rPr>
        <w:t>造价咨询资质）和江西师范大学不动产研究所挂靠我院，是学校直属科研与服务机构，每年承担了大量的横向和纵向科研任务。</w:t>
      </w:r>
    </w:p>
    <w:p w:rsidR="005826A4" w:rsidRDefault="00CD49D2" w:rsidP="00CD49D2">
      <w:pPr>
        <w:pStyle w:val="a3"/>
        <w:spacing w:line="360" w:lineRule="auto"/>
        <w:ind w:left="0" w:right="110" w:firstLineChars="200" w:firstLine="560"/>
        <w:rPr>
          <w:rFonts w:ascii="Times New Roman" w:eastAsia="微软雅黑" w:hAnsi="Times New Roman"/>
          <w:b/>
          <w:sz w:val="28"/>
        </w:rPr>
      </w:pPr>
      <w:r>
        <w:rPr>
          <w:rFonts w:ascii="Times New Roman" w:eastAsia="微软雅黑" w:hAnsi="Times New Roman" w:hint="eastAsia"/>
          <w:b/>
          <w:sz w:val="28"/>
        </w:rPr>
        <w:t>二、调剂要</w:t>
      </w:r>
      <w:r>
        <w:rPr>
          <w:rFonts w:ascii="Times New Roman" w:eastAsia="微软雅黑" w:hAnsi="Times New Roman" w:hint="eastAsia"/>
          <w:b/>
          <w:sz w:val="28"/>
        </w:rPr>
        <w:t>求</w:t>
      </w:r>
    </w:p>
    <w:p w:rsidR="005826A4" w:rsidRDefault="00CD49D2">
      <w:pPr>
        <w:pStyle w:val="a3"/>
        <w:spacing w:line="360" w:lineRule="auto"/>
        <w:ind w:left="0" w:right="110"/>
        <w:rPr>
          <w:rFonts w:ascii="新宋体" w:eastAsia="新宋体" w:hAnsi="新宋体" w:cs="新宋体"/>
          <w:color w:val="000000"/>
          <w:sz w:val="27"/>
          <w:szCs w:val="27"/>
          <w:shd w:val="clear" w:color="auto" w:fill="FFFFFF"/>
        </w:rPr>
      </w:pPr>
      <w:r>
        <w:rPr>
          <w:rFonts w:ascii="新宋体" w:eastAsia="新宋体" w:hAnsi="新宋体" w:cs="新宋体" w:hint="eastAsia"/>
          <w:color w:val="000000"/>
          <w:sz w:val="27"/>
          <w:szCs w:val="27"/>
          <w:shd w:val="clear" w:color="auto" w:fill="FFFFFF"/>
        </w:rPr>
        <w:t>（</w:t>
      </w:r>
      <w:r>
        <w:rPr>
          <w:rFonts w:ascii="新宋体" w:eastAsia="新宋体" w:hAnsi="新宋体" w:cs="新宋体" w:hint="eastAsia"/>
          <w:color w:val="000000"/>
          <w:sz w:val="27"/>
          <w:szCs w:val="27"/>
          <w:shd w:val="clear" w:color="auto" w:fill="FFFFFF"/>
        </w:rPr>
        <w:t>1</w:t>
      </w:r>
      <w:r>
        <w:rPr>
          <w:rFonts w:ascii="新宋体" w:eastAsia="新宋体" w:hAnsi="新宋体" w:cs="新宋体" w:hint="eastAsia"/>
          <w:color w:val="000000"/>
          <w:sz w:val="27"/>
          <w:szCs w:val="27"/>
          <w:shd w:val="clear" w:color="auto" w:fill="FFFFFF"/>
        </w:rPr>
        <w:t>）符合调入专业的报考条件。详情请见我校招生简章公布的报考条件。</w:t>
      </w:r>
    </w:p>
    <w:p w:rsidR="005826A4" w:rsidRDefault="00CD49D2">
      <w:pPr>
        <w:pStyle w:val="a3"/>
        <w:spacing w:line="360" w:lineRule="auto"/>
        <w:ind w:left="0" w:right="110"/>
        <w:rPr>
          <w:rFonts w:ascii="新宋体" w:eastAsia="新宋体" w:hAnsi="新宋体" w:cs="新宋体"/>
          <w:color w:val="000000"/>
          <w:sz w:val="27"/>
          <w:szCs w:val="27"/>
          <w:shd w:val="clear" w:color="auto" w:fill="FFFFFF"/>
        </w:rPr>
      </w:pPr>
      <w:r>
        <w:rPr>
          <w:rFonts w:ascii="新宋体" w:eastAsia="新宋体" w:hAnsi="新宋体" w:cs="新宋体" w:hint="eastAsia"/>
          <w:color w:val="000000"/>
          <w:sz w:val="27"/>
          <w:szCs w:val="27"/>
          <w:shd w:val="clear" w:color="auto" w:fill="FFFFFF"/>
        </w:rPr>
        <w:t>（</w:t>
      </w:r>
      <w:r>
        <w:rPr>
          <w:rFonts w:ascii="新宋体" w:eastAsia="新宋体" w:hAnsi="新宋体" w:cs="新宋体" w:hint="eastAsia"/>
          <w:color w:val="000000"/>
          <w:sz w:val="27"/>
          <w:szCs w:val="27"/>
          <w:shd w:val="clear" w:color="auto" w:fill="FFFFFF"/>
        </w:rPr>
        <w:t>2</w:t>
      </w:r>
      <w:r>
        <w:rPr>
          <w:rFonts w:ascii="新宋体" w:eastAsia="新宋体" w:hAnsi="新宋体" w:cs="新宋体" w:hint="eastAsia"/>
          <w:color w:val="000000"/>
          <w:sz w:val="27"/>
          <w:szCs w:val="27"/>
          <w:shd w:val="clear" w:color="auto" w:fill="FFFFFF"/>
        </w:rPr>
        <w:t>）初试成绩须符合第一志愿报考专业</w:t>
      </w:r>
      <w:r>
        <w:rPr>
          <w:rFonts w:ascii="新宋体" w:eastAsia="新宋体" w:hAnsi="新宋体" w:cs="新宋体" w:hint="eastAsia"/>
          <w:color w:val="000000"/>
          <w:sz w:val="27"/>
          <w:szCs w:val="27"/>
          <w:shd w:val="clear" w:color="auto" w:fill="FFFFFF"/>
        </w:rPr>
        <w:t>A</w:t>
      </w:r>
      <w:r>
        <w:rPr>
          <w:rFonts w:ascii="新宋体" w:eastAsia="新宋体" w:hAnsi="新宋体" w:cs="新宋体" w:hint="eastAsia"/>
          <w:color w:val="000000"/>
          <w:sz w:val="27"/>
          <w:szCs w:val="27"/>
          <w:shd w:val="clear" w:color="auto" w:fill="FFFFFF"/>
        </w:rPr>
        <w:t>类地区的全国初试成绩基本要求；</w:t>
      </w:r>
    </w:p>
    <w:p w:rsidR="005826A4" w:rsidRDefault="00CD49D2">
      <w:pPr>
        <w:pStyle w:val="a3"/>
        <w:spacing w:line="360" w:lineRule="auto"/>
        <w:ind w:left="0" w:right="110"/>
        <w:rPr>
          <w:rFonts w:ascii="新宋体" w:eastAsia="新宋体" w:hAnsi="新宋体" w:cs="新宋体"/>
          <w:color w:val="000000"/>
          <w:sz w:val="27"/>
          <w:szCs w:val="27"/>
          <w:shd w:val="clear" w:color="auto" w:fill="FFFFFF"/>
        </w:rPr>
      </w:pPr>
      <w:r>
        <w:rPr>
          <w:rFonts w:ascii="新宋体" w:eastAsia="新宋体" w:hAnsi="新宋体" w:cs="新宋体" w:hint="eastAsia"/>
          <w:color w:val="000000"/>
          <w:sz w:val="27"/>
          <w:szCs w:val="27"/>
          <w:shd w:val="clear" w:color="auto" w:fill="FFFFFF"/>
        </w:rPr>
        <w:t>（</w:t>
      </w:r>
      <w:r>
        <w:rPr>
          <w:rFonts w:ascii="新宋体" w:eastAsia="新宋体" w:hAnsi="新宋体" w:cs="新宋体" w:hint="eastAsia"/>
          <w:color w:val="000000"/>
          <w:sz w:val="27"/>
          <w:szCs w:val="27"/>
          <w:shd w:val="clear" w:color="auto" w:fill="FFFFFF"/>
        </w:rPr>
        <w:t>3</w:t>
      </w:r>
      <w:r>
        <w:rPr>
          <w:rFonts w:ascii="新宋体" w:eastAsia="新宋体" w:hAnsi="新宋体" w:cs="新宋体" w:hint="eastAsia"/>
          <w:color w:val="000000"/>
          <w:sz w:val="27"/>
          <w:szCs w:val="27"/>
          <w:shd w:val="clear" w:color="auto" w:fill="FFFFFF"/>
        </w:rPr>
        <w:t>）考生第一志愿报考专业与调剂专业应在同一学科门类范围内。</w:t>
      </w:r>
    </w:p>
    <w:p w:rsidR="005826A4" w:rsidRDefault="00CD49D2">
      <w:pPr>
        <w:pStyle w:val="a3"/>
        <w:spacing w:line="360" w:lineRule="auto"/>
        <w:ind w:left="0" w:right="110"/>
        <w:rPr>
          <w:rFonts w:ascii="新宋体" w:eastAsia="新宋体" w:hAnsi="新宋体" w:cs="新宋体"/>
          <w:color w:val="000000"/>
          <w:sz w:val="27"/>
          <w:szCs w:val="27"/>
          <w:shd w:val="clear" w:color="auto" w:fill="FFFFFF"/>
        </w:rPr>
      </w:pPr>
      <w:r>
        <w:rPr>
          <w:rFonts w:ascii="新宋体" w:eastAsia="新宋体" w:hAnsi="新宋体" w:cs="新宋体" w:hint="eastAsia"/>
          <w:color w:val="000000"/>
          <w:sz w:val="27"/>
          <w:szCs w:val="27"/>
          <w:shd w:val="clear" w:color="auto" w:fill="FFFFFF"/>
        </w:rPr>
        <w:t>（</w:t>
      </w:r>
      <w:r>
        <w:rPr>
          <w:rFonts w:ascii="新宋体" w:eastAsia="新宋体" w:hAnsi="新宋体" w:cs="新宋体" w:hint="eastAsia"/>
          <w:color w:val="000000"/>
          <w:sz w:val="27"/>
          <w:szCs w:val="27"/>
          <w:shd w:val="clear" w:color="auto" w:fill="FFFFFF"/>
        </w:rPr>
        <w:t>4</w:t>
      </w:r>
      <w:r>
        <w:rPr>
          <w:rFonts w:ascii="新宋体" w:eastAsia="新宋体" w:hAnsi="新宋体" w:cs="新宋体" w:hint="eastAsia"/>
          <w:color w:val="000000"/>
          <w:sz w:val="27"/>
          <w:szCs w:val="27"/>
          <w:shd w:val="clear" w:color="auto" w:fill="FFFFFF"/>
        </w:rPr>
        <w:t>）考生初试科目与调剂专业初试科目相同或相近，其中初试全国统一命题科目应与调入专业全国统一命题科目相同。</w:t>
      </w:r>
    </w:p>
    <w:p w:rsidR="005826A4" w:rsidRDefault="00CD49D2">
      <w:pPr>
        <w:pStyle w:val="a3"/>
        <w:spacing w:line="360" w:lineRule="auto"/>
        <w:ind w:left="0" w:right="110" w:firstLineChars="200" w:firstLine="540"/>
        <w:rPr>
          <w:rFonts w:ascii="新宋体" w:eastAsia="新宋体" w:hAnsi="新宋体" w:cs="新宋体"/>
          <w:color w:val="000000"/>
          <w:sz w:val="27"/>
          <w:szCs w:val="27"/>
          <w:shd w:val="clear" w:color="auto" w:fill="FFFFFF"/>
        </w:rPr>
      </w:pPr>
      <w:r>
        <w:rPr>
          <w:rFonts w:ascii="新宋体" w:eastAsia="新宋体" w:hAnsi="新宋体" w:cs="新宋体" w:hint="eastAsia"/>
          <w:color w:val="000000"/>
          <w:sz w:val="27"/>
          <w:szCs w:val="27"/>
          <w:shd w:val="clear" w:color="auto" w:fill="FFFFFF"/>
        </w:rPr>
        <w:t>欢迎成绩优秀的考生申请调剂我院硕士研究生！</w:t>
      </w:r>
    </w:p>
    <w:p w:rsidR="005826A4" w:rsidRPr="00CD49D2" w:rsidRDefault="00CD49D2">
      <w:pPr>
        <w:pStyle w:val="a3"/>
        <w:spacing w:line="360" w:lineRule="auto"/>
        <w:ind w:left="0" w:right="110" w:firstLineChars="200" w:firstLine="560"/>
        <w:rPr>
          <w:rFonts w:ascii="Times New Roman" w:eastAsia="微软雅黑" w:hAnsi="Times New Roman"/>
          <w:b/>
          <w:sz w:val="28"/>
        </w:rPr>
      </w:pPr>
      <w:bookmarkStart w:id="0" w:name="_GoBack"/>
      <w:bookmarkEnd w:id="0"/>
      <w:r>
        <w:rPr>
          <w:rFonts w:ascii="Times New Roman" w:eastAsia="微软雅黑" w:hAnsi="Times New Roman"/>
          <w:b/>
          <w:sz w:val="28"/>
        </w:rPr>
        <w:t xml:space="preserve">三、调剂专业、调剂名额　</w:t>
      </w:r>
      <w:r w:rsidRPr="00CD49D2">
        <w:rPr>
          <w:rFonts w:ascii="Times New Roman" w:eastAsia="微软雅黑" w:hAnsi="Times New Roman"/>
          <w:b/>
          <w:sz w:val="28"/>
        </w:rPr>
        <w:t xml:space="preserve">　</w:t>
      </w:r>
    </w:p>
    <w:tbl>
      <w:tblPr>
        <w:tblW w:w="5000" w:type="pct"/>
        <w:tblBorders>
          <w:top w:val="single" w:sz="4" w:space="0" w:color="auto"/>
          <w:left w:val="single" w:sz="4" w:space="0" w:color="auto"/>
          <w:bottom w:val="single" w:sz="4" w:space="0" w:color="auto"/>
          <w:right w:val="single" w:sz="4" w:space="0" w:color="auto"/>
        </w:tblBorders>
        <w:tblCellMar>
          <w:left w:w="7" w:type="dxa"/>
          <w:right w:w="7" w:type="dxa"/>
        </w:tblCellMar>
        <w:tblLook w:val="04A0"/>
      </w:tblPr>
      <w:tblGrid>
        <w:gridCol w:w="1851"/>
        <w:gridCol w:w="2485"/>
        <w:gridCol w:w="1786"/>
        <w:gridCol w:w="1780"/>
        <w:gridCol w:w="1858"/>
      </w:tblGrid>
      <w:tr w:rsidR="005826A4" w:rsidTr="00EA3B3F">
        <w:trPr>
          <w:trHeight w:val="468"/>
        </w:trPr>
        <w:tc>
          <w:tcPr>
            <w:tcW w:w="948"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b/>
                <w:color w:val="000000"/>
              </w:rPr>
            </w:pPr>
            <w:r>
              <w:rPr>
                <w:rFonts w:ascii="Times New Roman" w:hAnsi="Times New Roman"/>
                <w:b/>
                <w:color w:val="000000"/>
              </w:rPr>
              <w:t>专业代码</w:t>
            </w:r>
          </w:p>
        </w:tc>
        <w:tc>
          <w:tcPr>
            <w:tcW w:w="1273"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b/>
                <w:color w:val="000000"/>
              </w:rPr>
            </w:pPr>
            <w:r>
              <w:rPr>
                <w:rFonts w:ascii="Times New Roman" w:hAnsi="Times New Roman"/>
                <w:b/>
                <w:color w:val="000000"/>
              </w:rPr>
              <w:t>专业名称</w:t>
            </w:r>
          </w:p>
        </w:tc>
        <w:tc>
          <w:tcPr>
            <w:tcW w:w="915"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b/>
                <w:color w:val="000000"/>
              </w:rPr>
            </w:pPr>
            <w:r>
              <w:rPr>
                <w:rFonts w:ascii="Times New Roman" w:hAnsi="Times New Roman"/>
                <w:b/>
                <w:color w:val="000000"/>
              </w:rPr>
              <w:t>学位类别</w:t>
            </w:r>
          </w:p>
        </w:tc>
        <w:tc>
          <w:tcPr>
            <w:tcW w:w="91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b/>
                <w:color w:val="000000"/>
              </w:rPr>
            </w:pPr>
            <w:r>
              <w:rPr>
                <w:rFonts w:ascii="Times New Roman" w:hAnsi="Times New Roman"/>
                <w:b/>
                <w:color w:val="000000"/>
              </w:rPr>
              <w:t>学习形式</w:t>
            </w:r>
          </w:p>
        </w:tc>
        <w:tc>
          <w:tcPr>
            <w:tcW w:w="95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b/>
                <w:color w:val="000000"/>
              </w:rPr>
            </w:pPr>
            <w:r>
              <w:rPr>
                <w:rFonts w:ascii="Times New Roman" w:hAnsi="Times New Roman"/>
                <w:b/>
                <w:color w:val="000000"/>
              </w:rPr>
              <w:t>调剂名额</w:t>
            </w:r>
          </w:p>
        </w:tc>
      </w:tr>
      <w:tr w:rsidR="005826A4" w:rsidTr="00EA3B3F">
        <w:trPr>
          <w:trHeight w:val="451"/>
        </w:trPr>
        <w:tc>
          <w:tcPr>
            <w:tcW w:w="948" w:type="pct"/>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rsidR="005826A4" w:rsidRDefault="00CD49D2">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4"/>
                <w:szCs w:val="24"/>
                <w:lang/>
              </w:rPr>
              <w:lastRenderedPageBreak/>
              <w:t>1201Z3</w:t>
            </w:r>
          </w:p>
        </w:tc>
        <w:tc>
          <w:tcPr>
            <w:tcW w:w="1273" w:type="pct"/>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rsidR="005826A4" w:rsidRDefault="00CD49D2">
            <w:pPr>
              <w:widowControl/>
              <w:jc w:val="center"/>
              <w:textAlignment w:val="center"/>
              <w:rPr>
                <w:rFonts w:ascii="仿宋" w:eastAsia="仿宋" w:hAnsi="仿宋" w:cs="宋体"/>
                <w:kern w:val="0"/>
                <w:sz w:val="28"/>
                <w:szCs w:val="28"/>
              </w:rPr>
            </w:pPr>
            <w:r>
              <w:rPr>
                <w:rFonts w:ascii="宋体" w:eastAsia="宋体" w:hAnsi="宋体" w:cs="宋体" w:hint="eastAsia"/>
                <w:color w:val="000000"/>
                <w:kern w:val="0"/>
                <w:sz w:val="24"/>
                <w:szCs w:val="24"/>
                <w:lang/>
              </w:rPr>
              <w:t>房地产开发与管理</w:t>
            </w:r>
          </w:p>
        </w:tc>
        <w:tc>
          <w:tcPr>
            <w:tcW w:w="915"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color w:val="000000"/>
              </w:rPr>
            </w:pPr>
            <w:r>
              <w:rPr>
                <w:rFonts w:ascii="Times New Roman" w:hAnsi="Times New Roman"/>
                <w:color w:val="000000"/>
              </w:rPr>
              <w:t>学术型</w:t>
            </w:r>
          </w:p>
        </w:tc>
        <w:tc>
          <w:tcPr>
            <w:tcW w:w="91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5826A4" w:rsidRDefault="00CD49D2" w:rsidP="00EA3B3F">
            <w:pPr>
              <w:pStyle w:val="a9"/>
              <w:widowControl/>
              <w:spacing w:beforeLines="50" w:afterLines="50"/>
              <w:jc w:val="center"/>
              <w:rPr>
                <w:rFonts w:ascii="Times New Roman" w:eastAsia="微软雅黑" w:hAnsi="Times New Roman" w:hint="default"/>
                <w:color w:val="000000"/>
              </w:rPr>
            </w:pPr>
            <w:r>
              <w:rPr>
                <w:rFonts w:ascii="Times New Roman" w:hAnsi="Times New Roman"/>
                <w:color w:val="000000"/>
              </w:rPr>
              <w:t>全日制</w:t>
            </w:r>
          </w:p>
        </w:tc>
        <w:tc>
          <w:tcPr>
            <w:tcW w:w="952" w:type="pct"/>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rsidR="005826A4" w:rsidRDefault="00CD49D2" w:rsidP="00EA3B3F">
            <w:pPr>
              <w:pStyle w:val="a9"/>
              <w:widowControl/>
              <w:spacing w:beforeLines="50" w:afterLines="50"/>
              <w:jc w:val="center"/>
              <w:rPr>
                <w:rFonts w:ascii="Times New Roman" w:eastAsia="微软雅黑" w:hAnsi="Times New Roman" w:hint="default"/>
                <w:color w:val="000000"/>
              </w:rPr>
            </w:pPr>
            <w:r>
              <w:rPr>
                <w:rFonts w:ascii="Times New Roman" w:eastAsia="微软雅黑" w:hAnsi="Times New Roman"/>
                <w:color w:val="000000"/>
              </w:rPr>
              <w:t>1</w:t>
            </w:r>
          </w:p>
        </w:tc>
      </w:tr>
    </w:tbl>
    <w:p w:rsidR="005826A4" w:rsidRDefault="00CD49D2" w:rsidP="00CD49D2">
      <w:pPr>
        <w:pStyle w:val="a3"/>
        <w:spacing w:line="360" w:lineRule="auto"/>
        <w:ind w:left="0" w:right="110" w:firstLineChars="200" w:firstLine="560"/>
        <w:rPr>
          <w:rFonts w:ascii="Times New Roman" w:eastAsia="微软雅黑" w:hAnsi="Times New Roman"/>
          <w:b/>
          <w:sz w:val="28"/>
        </w:rPr>
      </w:pPr>
      <w:r>
        <w:rPr>
          <w:rFonts w:ascii="Times New Roman" w:eastAsia="微软雅黑" w:hAnsi="Times New Roman" w:hint="eastAsia"/>
          <w:b/>
          <w:sz w:val="28"/>
        </w:rPr>
        <w:t>四、调剂报名</w:t>
      </w:r>
    </w:p>
    <w:p w:rsidR="00CD49D2" w:rsidRDefault="00CD49D2">
      <w:pPr>
        <w:pStyle w:val="a9"/>
        <w:widowControl/>
        <w:spacing w:line="360" w:lineRule="auto"/>
        <w:ind w:firstLineChars="200" w:firstLine="540"/>
        <w:rPr>
          <w:rFonts w:ascii="新宋体" w:eastAsia="新宋体" w:hAnsi="新宋体" w:cs="新宋体"/>
          <w:color w:val="000000"/>
          <w:sz w:val="27"/>
          <w:szCs w:val="27"/>
          <w:shd w:val="clear" w:color="auto" w:fill="FFFFFF"/>
          <w:lang w:bidi="zh-CN"/>
        </w:rPr>
      </w:pPr>
      <w:r>
        <w:rPr>
          <w:rFonts w:ascii="新宋体" w:eastAsia="新宋体" w:hAnsi="新宋体" w:cs="新宋体"/>
          <w:color w:val="000000"/>
          <w:sz w:val="27"/>
          <w:szCs w:val="27"/>
          <w:shd w:val="clear" w:color="auto" w:fill="FFFFFF"/>
          <w:lang w:bidi="zh-CN"/>
        </w:rPr>
        <w:t>调剂系统开通后，我校将在中国研究生招生信息网（</w:t>
      </w:r>
      <w:r>
        <w:rPr>
          <w:rFonts w:ascii="新宋体" w:eastAsia="新宋体" w:hAnsi="新宋体" w:cs="新宋体"/>
          <w:color w:val="000000"/>
          <w:sz w:val="27"/>
          <w:szCs w:val="27"/>
          <w:shd w:val="clear" w:color="auto" w:fill="FFFFFF"/>
          <w:lang w:bidi="zh-CN"/>
        </w:rPr>
        <w:t>http://yz.chsi.com.cn/</w:t>
      </w:r>
      <w:r>
        <w:rPr>
          <w:rFonts w:ascii="新宋体" w:eastAsia="新宋体" w:hAnsi="新宋体" w:cs="新宋体"/>
          <w:color w:val="000000"/>
          <w:sz w:val="27"/>
          <w:szCs w:val="27"/>
          <w:shd w:val="clear" w:color="auto" w:fill="FFFFFF"/>
          <w:lang w:bidi="zh-CN"/>
        </w:rPr>
        <w:t>）公布调剂缺额信息。调剂系统开放时间：</w:t>
      </w:r>
      <w:r>
        <w:rPr>
          <w:rFonts w:ascii="新宋体" w:eastAsia="新宋体" w:hAnsi="新宋体" w:cs="新宋体"/>
          <w:color w:val="000000"/>
          <w:sz w:val="27"/>
          <w:szCs w:val="27"/>
          <w:shd w:val="clear" w:color="auto" w:fill="FFFFFF"/>
          <w:lang w:bidi="zh-CN"/>
        </w:rPr>
        <w:t>2022</w:t>
      </w:r>
      <w:r>
        <w:rPr>
          <w:rFonts w:ascii="新宋体" w:eastAsia="新宋体" w:hAnsi="新宋体" w:cs="新宋体"/>
          <w:color w:val="000000"/>
          <w:sz w:val="27"/>
          <w:szCs w:val="27"/>
          <w:shd w:val="clear" w:color="auto" w:fill="FFFFFF"/>
          <w:lang w:bidi="zh-CN"/>
        </w:rPr>
        <w:t>年</w:t>
      </w:r>
      <w:r>
        <w:rPr>
          <w:rFonts w:ascii="新宋体" w:eastAsia="新宋体" w:hAnsi="新宋体" w:cs="新宋体"/>
          <w:color w:val="000000"/>
          <w:sz w:val="27"/>
          <w:szCs w:val="27"/>
          <w:shd w:val="clear" w:color="auto" w:fill="FFFFFF"/>
          <w:lang w:bidi="zh-CN"/>
        </w:rPr>
        <w:t>4</w:t>
      </w:r>
      <w:r>
        <w:rPr>
          <w:rFonts w:ascii="新宋体" w:eastAsia="新宋体" w:hAnsi="新宋体" w:cs="新宋体"/>
          <w:color w:val="000000"/>
          <w:sz w:val="27"/>
          <w:szCs w:val="27"/>
          <w:shd w:val="clear" w:color="auto" w:fill="FFFFFF"/>
          <w:lang w:bidi="zh-CN"/>
        </w:rPr>
        <w:t>月</w:t>
      </w:r>
      <w:r>
        <w:rPr>
          <w:rFonts w:ascii="新宋体" w:eastAsia="新宋体" w:hAnsi="新宋体" w:cs="新宋体"/>
          <w:color w:val="000000"/>
          <w:sz w:val="27"/>
          <w:szCs w:val="27"/>
          <w:shd w:val="clear" w:color="auto" w:fill="FFFFFF"/>
          <w:lang w:bidi="zh-CN"/>
        </w:rPr>
        <w:t>6</w:t>
      </w:r>
      <w:r>
        <w:rPr>
          <w:rFonts w:ascii="新宋体" w:eastAsia="新宋体" w:hAnsi="新宋体" w:cs="新宋体"/>
          <w:color w:val="000000"/>
          <w:sz w:val="27"/>
          <w:szCs w:val="27"/>
          <w:shd w:val="clear" w:color="auto" w:fill="FFFFFF"/>
          <w:lang w:bidi="zh-CN"/>
        </w:rPr>
        <w:t>日。</w:t>
      </w:r>
    </w:p>
    <w:p w:rsidR="005826A4" w:rsidRDefault="00CD49D2" w:rsidP="00CD49D2">
      <w:pPr>
        <w:pStyle w:val="a9"/>
        <w:widowControl/>
        <w:spacing w:line="360" w:lineRule="auto"/>
        <w:ind w:firstLineChars="200" w:firstLine="560"/>
        <w:rPr>
          <w:rFonts w:ascii="Times New Roman" w:eastAsia="Times New Roman" w:hint="default"/>
          <w:color w:val="FF0000"/>
          <w:sz w:val="28"/>
        </w:rPr>
      </w:pPr>
      <w:r w:rsidRPr="00CD49D2">
        <w:rPr>
          <w:rFonts w:ascii="Times New Roman" w:eastAsia="微软雅黑" w:hAnsi="Times New Roman" w:cs="仿宋"/>
          <w:b/>
          <w:sz w:val="28"/>
          <w:szCs w:val="32"/>
          <w:lang w:val="zh-CN" w:bidi="zh-CN"/>
        </w:rPr>
        <w:t>五、复试时间及科目</w:t>
      </w:r>
    </w:p>
    <w:p w:rsidR="00CD49D2" w:rsidRDefault="00CD49D2">
      <w:pPr>
        <w:pStyle w:val="a7"/>
        <w:widowControl w:val="0"/>
        <w:spacing w:before="0" w:beforeAutospacing="0" w:after="0" w:afterAutospacing="0" w:line="360" w:lineRule="auto"/>
        <w:ind w:firstLineChars="200" w:firstLine="540"/>
        <w:outlineLvl w:val="0"/>
        <w:rPr>
          <w:rFonts w:ascii="Times New Roman" w:hint="eastAsia"/>
          <w:sz w:val="28"/>
        </w:rPr>
      </w:pPr>
      <w:r>
        <w:rPr>
          <w:rFonts w:ascii="新宋体" w:eastAsia="新宋体" w:hAnsi="新宋体" w:cs="新宋体" w:hint="eastAsia"/>
          <w:color w:val="000000"/>
          <w:kern w:val="2"/>
          <w:sz w:val="27"/>
          <w:szCs w:val="27"/>
          <w:shd w:val="clear" w:color="auto" w:fill="FFFFFF"/>
          <w:lang w:bidi="zh-CN"/>
        </w:rPr>
        <w:t>复试采取线上视频，时间具体以通知为准，</w:t>
      </w:r>
      <w:bookmarkStart w:id="1" w:name="_Toc477253419"/>
      <w:r>
        <w:rPr>
          <w:rFonts w:ascii="新宋体" w:eastAsia="新宋体" w:hAnsi="新宋体" w:cs="新宋体" w:hint="eastAsia"/>
          <w:color w:val="000000"/>
          <w:kern w:val="2"/>
          <w:sz w:val="27"/>
          <w:szCs w:val="27"/>
          <w:shd w:val="clear" w:color="auto" w:fill="FFFFFF"/>
          <w:lang w:bidi="zh-CN"/>
        </w:rPr>
        <w:t>具体复试办法参照《</w:t>
      </w:r>
      <w:r>
        <w:rPr>
          <w:rFonts w:ascii="新宋体" w:eastAsia="新宋体" w:hAnsi="新宋体" w:cs="新宋体" w:hint="eastAsia"/>
          <w:color w:val="000000"/>
          <w:kern w:val="2"/>
          <w:sz w:val="27"/>
          <w:szCs w:val="27"/>
          <w:shd w:val="clear" w:color="auto" w:fill="FFFFFF"/>
          <w:lang w:bidi="zh-CN"/>
        </w:rPr>
        <w:t>2022</w:t>
      </w:r>
      <w:r>
        <w:rPr>
          <w:rFonts w:ascii="新宋体" w:eastAsia="新宋体" w:hAnsi="新宋体" w:cs="新宋体" w:hint="eastAsia"/>
          <w:color w:val="000000"/>
          <w:kern w:val="2"/>
          <w:sz w:val="27"/>
          <w:szCs w:val="27"/>
          <w:shd w:val="clear" w:color="auto" w:fill="FFFFFF"/>
          <w:lang w:bidi="zh-CN"/>
        </w:rPr>
        <w:t>年城市建设学院复试录取办法</w:t>
      </w:r>
      <w:bookmarkEnd w:id="1"/>
      <w:r>
        <w:rPr>
          <w:rFonts w:ascii="新宋体" w:eastAsia="新宋体" w:hAnsi="新宋体" w:cs="新宋体" w:hint="eastAsia"/>
          <w:color w:val="000000"/>
          <w:kern w:val="2"/>
          <w:sz w:val="27"/>
          <w:szCs w:val="27"/>
          <w:shd w:val="clear" w:color="auto" w:fill="FFFFFF"/>
          <w:lang w:bidi="zh-CN"/>
        </w:rPr>
        <w:t>》。</w:t>
      </w:r>
    </w:p>
    <w:p w:rsid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eastAsia="微软雅黑" w:hAnsi="Times New Roman" w:cs="仿宋" w:hint="eastAsia"/>
          <w:b/>
          <w:kern w:val="2"/>
          <w:sz w:val="28"/>
          <w:szCs w:val="32"/>
          <w:lang w:val="zh-CN" w:bidi="zh-CN"/>
        </w:rPr>
      </w:pPr>
      <w:r w:rsidRPr="00CD49D2">
        <w:rPr>
          <w:rFonts w:ascii="Times New Roman" w:eastAsia="微软雅黑" w:hAnsi="Times New Roman" w:cs="仿宋"/>
          <w:b/>
          <w:kern w:val="2"/>
          <w:sz w:val="28"/>
          <w:szCs w:val="32"/>
          <w:lang w:val="zh-CN" w:bidi="zh-CN"/>
        </w:rPr>
        <w:t>六、调剂流程</w:t>
      </w:r>
    </w:p>
    <w:p w:rsid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hint="eastAsia"/>
          <w:sz w:val="28"/>
        </w:rPr>
      </w:pPr>
      <w:r>
        <w:rPr>
          <w:rFonts w:ascii="Times New Roman" w:hAnsi="Times New Roman"/>
          <w:sz w:val="28"/>
        </w:rPr>
        <w:t>1</w:t>
      </w:r>
      <w:r>
        <w:rPr>
          <w:rFonts w:ascii="Times New Roman" w:hAnsi="Times New Roman"/>
          <w:sz w:val="28"/>
        </w:rPr>
        <w:t>．所有调剂考生都必须在中国研究生招生信息网上提交调剂志愿，请相关考生关注该网站调剂信息，网上调剂平台开通后，在规定时间内提交调剂志愿。</w:t>
      </w:r>
    </w:p>
    <w:p w:rsid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hint="eastAsia"/>
          <w:sz w:val="28"/>
        </w:rPr>
      </w:pPr>
      <w:r>
        <w:rPr>
          <w:rFonts w:ascii="Times New Roman" w:hAnsi="Times New Roman"/>
          <w:sz w:val="28"/>
        </w:rPr>
        <w:t>2</w:t>
      </w:r>
      <w:r>
        <w:rPr>
          <w:rFonts w:ascii="Times New Roman" w:hAnsi="Times New Roman"/>
          <w:sz w:val="28"/>
        </w:rPr>
        <w:t>．我院将根据调剂志愿择优发出复试通知，请有意向的调剂考生接到复试通知后尽快办理相关调剂手续并按时参加复试。</w:t>
      </w:r>
    </w:p>
    <w:p w:rsid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hint="eastAsia"/>
          <w:sz w:val="28"/>
        </w:rPr>
      </w:pPr>
      <w:r>
        <w:rPr>
          <w:rFonts w:ascii="Times New Roman" w:hAnsi="Times New Roman"/>
          <w:sz w:val="28"/>
        </w:rPr>
        <w:t>3</w:t>
      </w:r>
      <w:r>
        <w:rPr>
          <w:rFonts w:ascii="Times New Roman" w:hAnsi="Times New Roman"/>
          <w:sz w:val="28"/>
        </w:rPr>
        <w:t>．复试结束后，对复试合格的调剂考生我校将在教育部调剂系统平台设置待录取状态，并通知考生网上确认。考生须在限定时间内做出明确答复，否则学校可取消待录取资格。</w:t>
      </w:r>
    </w:p>
    <w:p w:rsid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hint="eastAsia"/>
          <w:sz w:val="28"/>
        </w:rPr>
      </w:pPr>
      <w:r>
        <w:rPr>
          <w:rFonts w:ascii="Times New Roman" w:hAnsi="Times New Roman"/>
          <w:sz w:val="28"/>
        </w:rPr>
        <w:t>注：以上信息若与国家有关部门及教育部颁布的规定有不同之处，须按国家有关部门及教育部有关文件的规定执行，并以我校研究生院网站公布信息为准。</w:t>
      </w:r>
    </w:p>
    <w:p w:rsidR="005826A4"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eastAsia="Times New Roman"/>
          <w:sz w:val="28"/>
        </w:rPr>
      </w:pPr>
      <w:r>
        <w:rPr>
          <w:rFonts w:ascii="Times New Roman" w:eastAsia="微软雅黑" w:hAnsi="Times New Roman"/>
          <w:b/>
          <w:sz w:val="28"/>
        </w:rPr>
        <w:t>七、调剂工作联系电话</w:t>
      </w:r>
    </w:p>
    <w:p w:rsidR="005826A4" w:rsidRP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hAnsi="Times New Roman"/>
          <w:sz w:val="28"/>
        </w:rPr>
      </w:pPr>
      <w:r w:rsidRPr="00CD49D2">
        <w:rPr>
          <w:rFonts w:ascii="Times New Roman" w:hAnsi="Times New Roman" w:hint="eastAsia"/>
          <w:sz w:val="28"/>
        </w:rPr>
        <w:t>联系人：王老师；</w:t>
      </w:r>
    </w:p>
    <w:p w:rsidR="005826A4" w:rsidRPr="00CD49D2" w:rsidRDefault="00CD49D2" w:rsidP="00CD49D2">
      <w:pPr>
        <w:pStyle w:val="a7"/>
        <w:widowControl w:val="0"/>
        <w:tabs>
          <w:tab w:val="left" w:pos="2758"/>
        </w:tabs>
        <w:spacing w:before="0" w:beforeAutospacing="0" w:after="0" w:afterAutospacing="0" w:line="360" w:lineRule="auto"/>
        <w:ind w:firstLineChars="200" w:firstLine="560"/>
        <w:outlineLvl w:val="0"/>
        <w:rPr>
          <w:rFonts w:ascii="Times New Roman" w:hAnsi="Times New Roman"/>
          <w:sz w:val="28"/>
        </w:rPr>
      </w:pPr>
      <w:r w:rsidRPr="00CD49D2">
        <w:rPr>
          <w:rFonts w:ascii="Times New Roman" w:hAnsi="Times New Roman" w:hint="eastAsia"/>
          <w:sz w:val="28"/>
        </w:rPr>
        <w:t>联系电话：</w:t>
      </w:r>
      <w:r w:rsidRPr="00CD49D2">
        <w:rPr>
          <w:rFonts w:ascii="Times New Roman" w:hAnsi="Times New Roman" w:hint="eastAsia"/>
          <w:sz w:val="28"/>
        </w:rPr>
        <w:t>0791-8812</w:t>
      </w:r>
      <w:r w:rsidRPr="00CD49D2">
        <w:rPr>
          <w:rFonts w:ascii="Times New Roman" w:hAnsi="Times New Roman" w:hint="eastAsia"/>
          <w:sz w:val="28"/>
        </w:rPr>
        <w:t>0437</w:t>
      </w:r>
      <w:r w:rsidRPr="00CD49D2">
        <w:rPr>
          <w:rFonts w:ascii="Times New Roman" w:hAnsi="Times New Roman" w:hint="eastAsia"/>
          <w:sz w:val="28"/>
        </w:rPr>
        <w:t>。</w:t>
      </w:r>
    </w:p>
    <w:p w:rsidR="005826A4" w:rsidRDefault="005826A4">
      <w:pPr>
        <w:widowControl/>
        <w:spacing w:line="400" w:lineRule="exact"/>
        <w:rPr>
          <w:rFonts w:eastAsia="Times New Roman"/>
          <w:sz w:val="20"/>
        </w:rPr>
      </w:pPr>
    </w:p>
    <w:p w:rsidR="005826A4" w:rsidRDefault="00CD49D2">
      <w:pPr>
        <w:wordWrap w:val="0"/>
        <w:spacing w:line="480" w:lineRule="exact"/>
        <w:jc w:val="right"/>
        <w:rPr>
          <w:rFonts w:asciiTheme="minorEastAsia" w:hAnsiTheme="minorEastAsia"/>
          <w:sz w:val="28"/>
          <w:szCs w:val="28"/>
        </w:rPr>
      </w:pPr>
      <w:r>
        <w:rPr>
          <w:rFonts w:hint="eastAsia"/>
          <w:b/>
          <w:sz w:val="28"/>
          <w:szCs w:val="28"/>
        </w:rPr>
        <w:t>江西师范大学城市建设学院</w:t>
      </w:r>
    </w:p>
    <w:p w:rsidR="005826A4" w:rsidRDefault="00CD49D2" w:rsidP="00CD49D2">
      <w:pPr>
        <w:spacing w:line="480" w:lineRule="exact"/>
        <w:jc w:val="right"/>
      </w:pPr>
      <w:r>
        <w:rPr>
          <w:rFonts w:asciiTheme="minorEastAsia" w:hAnsiTheme="minorEastAsia" w:hint="eastAsia"/>
          <w:sz w:val="28"/>
          <w:szCs w:val="28"/>
        </w:rPr>
        <w:t>2022</w:t>
      </w:r>
      <w:r>
        <w:rPr>
          <w:rFonts w:asciiTheme="minorEastAsia" w:hAnsiTheme="minorEastAsia" w:hint="eastAsia"/>
          <w:sz w:val="28"/>
          <w:szCs w:val="28"/>
        </w:rPr>
        <w:t>年</w:t>
      </w:r>
      <w:r>
        <w:rPr>
          <w:rFonts w:asciiTheme="minorEastAsia" w:hAnsiTheme="minorEastAsia" w:hint="eastAsia"/>
          <w:sz w:val="28"/>
          <w:szCs w:val="28"/>
        </w:rPr>
        <w:t>4</w:t>
      </w:r>
      <w:r>
        <w:rPr>
          <w:rFonts w:asciiTheme="minorEastAsia" w:hAnsiTheme="minorEastAsia" w:hint="eastAsia"/>
          <w:sz w:val="28"/>
          <w:szCs w:val="28"/>
        </w:rPr>
        <w:t>月</w:t>
      </w:r>
      <w:r>
        <w:rPr>
          <w:rFonts w:asciiTheme="minorEastAsia" w:hAnsiTheme="minorEastAsia" w:hint="eastAsia"/>
          <w:sz w:val="28"/>
          <w:szCs w:val="28"/>
        </w:rPr>
        <w:t>2</w:t>
      </w:r>
      <w:r>
        <w:rPr>
          <w:rFonts w:asciiTheme="minorEastAsia" w:hAnsiTheme="minorEastAsia" w:hint="eastAsia"/>
          <w:sz w:val="28"/>
          <w:szCs w:val="28"/>
        </w:rPr>
        <w:t>日</w:t>
      </w:r>
    </w:p>
    <w:sectPr w:rsidR="005826A4" w:rsidSect="00CD49D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B3F" w:rsidRDefault="00EA3B3F" w:rsidP="00EA3B3F">
      <w:r>
        <w:separator/>
      </w:r>
    </w:p>
  </w:endnote>
  <w:endnote w:type="continuationSeparator" w:id="1">
    <w:p w:rsidR="00EA3B3F" w:rsidRDefault="00EA3B3F" w:rsidP="00EA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B3F" w:rsidRDefault="00EA3B3F" w:rsidP="00EA3B3F">
      <w:r>
        <w:separator/>
      </w:r>
    </w:p>
  </w:footnote>
  <w:footnote w:type="continuationSeparator" w:id="1">
    <w:p w:rsidR="00EA3B3F" w:rsidRDefault="00EA3B3F" w:rsidP="00EA3B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F150B03"/>
    <w:rsid w:val="0012034A"/>
    <w:rsid w:val="0013544B"/>
    <w:rsid w:val="00422C4E"/>
    <w:rsid w:val="00431910"/>
    <w:rsid w:val="004C567A"/>
    <w:rsid w:val="005826A4"/>
    <w:rsid w:val="00613448"/>
    <w:rsid w:val="007012EA"/>
    <w:rsid w:val="007D792F"/>
    <w:rsid w:val="008B13B8"/>
    <w:rsid w:val="009D3261"/>
    <w:rsid w:val="00A914F4"/>
    <w:rsid w:val="00B920C5"/>
    <w:rsid w:val="00BA6578"/>
    <w:rsid w:val="00C55C62"/>
    <w:rsid w:val="00CD49D2"/>
    <w:rsid w:val="00CE2E31"/>
    <w:rsid w:val="00CF4AC8"/>
    <w:rsid w:val="00DC1DA5"/>
    <w:rsid w:val="00E90157"/>
    <w:rsid w:val="00EA3B3F"/>
    <w:rsid w:val="00FD6451"/>
    <w:rsid w:val="02780551"/>
    <w:rsid w:val="03351867"/>
    <w:rsid w:val="06C260BB"/>
    <w:rsid w:val="082A30DD"/>
    <w:rsid w:val="099F12A5"/>
    <w:rsid w:val="0A195A3E"/>
    <w:rsid w:val="0AA33294"/>
    <w:rsid w:val="0BB30FB1"/>
    <w:rsid w:val="0DD22DA2"/>
    <w:rsid w:val="0EC214E3"/>
    <w:rsid w:val="10994183"/>
    <w:rsid w:val="12190435"/>
    <w:rsid w:val="124B7F5F"/>
    <w:rsid w:val="125B4472"/>
    <w:rsid w:val="128D0D77"/>
    <w:rsid w:val="15161464"/>
    <w:rsid w:val="15202377"/>
    <w:rsid w:val="17B14406"/>
    <w:rsid w:val="19A30E80"/>
    <w:rsid w:val="1AE8166C"/>
    <w:rsid w:val="1EE17440"/>
    <w:rsid w:val="208B7D2B"/>
    <w:rsid w:val="21C57800"/>
    <w:rsid w:val="25627E42"/>
    <w:rsid w:val="25C14C9E"/>
    <w:rsid w:val="25ED4D74"/>
    <w:rsid w:val="28A27541"/>
    <w:rsid w:val="2AF27EBA"/>
    <w:rsid w:val="2FB83480"/>
    <w:rsid w:val="3BEA3EE4"/>
    <w:rsid w:val="421C50AF"/>
    <w:rsid w:val="453733F8"/>
    <w:rsid w:val="45525916"/>
    <w:rsid w:val="485E04E5"/>
    <w:rsid w:val="48F82961"/>
    <w:rsid w:val="4E643CA3"/>
    <w:rsid w:val="4E7E53CF"/>
    <w:rsid w:val="4F150B03"/>
    <w:rsid w:val="4FE21D7E"/>
    <w:rsid w:val="4FFA0AF3"/>
    <w:rsid w:val="50240163"/>
    <w:rsid w:val="52D675F5"/>
    <w:rsid w:val="56986138"/>
    <w:rsid w:val="58D41ECC"/>
    <w:rsid w:val="59D05C01"/>
    <w:rsid w:val="5AB10EDB"/>
    <w:rsid w:val="5C744E01"/>
    <w:rsid w:val="5D0E1FBE"/>
    <w:rsid w:val="61CD6067"/>
    <w:rsid w:val="61F16D4C"/>
    <w:rsid w:val="62A53F26"/>
    <w:rsid w:val="65DA0D53"/>
    <w:rsid w:val="666E570E"/>
    <w:rsid w:val="674C58E9"/>
    <w:rsid w:val="67C42047"/>
    <w:rsid w:val="67F0485E"/>
    <w:rsid w:val="69F019F6"/>
    <w:rsid w:val="6A1C5204"/>
    <w:rsid w:val="6D4B0FC6"/>
    <w:rsid w:val="6EBE2657"/>
    <w:rsid w:val="6FFE3C58"/>
    <w:rsid w:val="717C3606"/>
    <w:rsid w:val="731F25E1"/>
    <w:rsid w:val="753B0061"/>
    <w:rsid w:val="797846B3"/>
    <w:rsid w:val="7BC91F7B"/>
    <w:rsid w:val="7D6C1049"/>
    <w:rsid w:val="7ED51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26A4"/>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unhideWhenUsed/>
    <w:qFormat/>
    <w:rsid w:val="005826A4"/>
    <w:pPr>
      <w:spacing w:before="440" w:after="60"/>
      <w:jc w:val="left"/>
      <w:outlineLvl w:val="0"/>
    </w:pPr>
    <w:rPr>
      <w:rFonts w:hint="eastAsia"/>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826A4"/>
    <w:pPr>
      <w:ind w:left="120"/>
    </w:pPr>
    <w:rPr>
      <w:rFonts w:ascii="仿宋" w:eastAsia="仿宋" w:hAnsi="仿宋" w:cs="仿宋"/>
      <w:sz w:val="32"/>
      <w:szCs w:val="32"/>
      <w:lang w:val="zh-CN" w:bidi="zh-CN"/>
    </w:rPr>
  </w:style>
  <w:style w:type="paragraph" w:styleId="a4">
    <w:name w:val="Balloon Text"/>
    <w:basedOn w:val="a"/>
    <w:link w:val="Char"/>
    <w:qFormat/>
    <w:rsid w:val="005826A4"/>
    <w:rPr>
      <w:sz w:val="18"/>
      <w:szCs w:val="18"/>
    </w:rPr>
  </w:style>
  <w:style w:type="paragraph" w:styleId="a5">
    <w:name w:val="footer"/>
    <w:basedOn w:val="a"/>
    <w:link w:val="Char0"/>
    <w:qFormat/>
    <w:rsid w:val="005826A4"/>
    <w:pPr>
      <w:tabs>
        <w:tab w:val="center" w:pos="4153"/>
        <w:tab w:val="right" w:pos="8306"/>
      </w:tabs>
      <w:snapToGrid w:val="0"/>
      <w:jc w:val="left"/>
    </w:pPr>
    <w:rPr>
      <w:sz w:val="18"/>
      <w:szCs w:val="18"/>
    </w:rPr>
  </w:style>
  <w:style w:type="paragraph" w:styleId="a6">
    <w:name w:val="header"/>
    <w:basedOn w:val="a"/>
    <w:link w:val="Char1"/>
    <w:qFormat/>
    <w:rsid w:val="005826A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826A4"/>
    <w:pPr>
      <w:widowControl/>
      <w:spacing w:before="100" w:beforeAutospacing="1" w:after="100" w:afterAutospacing="1"/>
      <w:jc w:val="left"/>
    </w:pPr>
    <w:rPr>
      <w:rFonts w:ascii="宋体" w:hAnsi="宋体" w:cs="宋体"/>
      <w:kern w:val="0"/>
      <w:sz w:val="24"/>
    </w:rPr>
  </w:style>
  <w:style w:type="character" w:styleId="a8">
    <w:name w:val="Hyperlink"/>
    <w:basedOn w:val="a0"/>
    <w:uiPriority w:val="99"/>
    <w:unhideWhenUsed/>
    <w:qFormat/>
    <w:rsid w:val="005826A4"/>
    <w:rPr>
      <w:rFonts w:ascii="Times New Roman" w:hint="default"/>
      <w:color w:val="0000FF"/>
      <w:sz w:val="24"/>
      <w:u w:val="single"/>
    </w:rPr>
  </w:style>
  <w:style w:type="paragraph" w:customStyle="1" w:styleId="a9">
    <w:name w:val="?™®¡¡¨¬¦€š(ç½¡®ç«™)"/>
    <w:basedOn w:val="a"/>
    <w:uiPriority w:val="99"/>
    <w:unhideWhenUsed/>
    <w:qFormat/>
    <w:rsid w:val="005826A4"/>
    <w:pPr>
      <w:jc w:val="left"/>
    </w:pPr>
    <w:rPr>
      <w:rFonts w:hint="eastAsia"/>
      <w:sz w:val="24"/>
    </w:rPr>
  </w:style>
  <w:style w:type="character" w:customStyle="1" w:styleId="Char">
    <w:name w:val="批注框文本 Char"/>
    <w:basedOn w:val="a0"/>
    <w:link w:val="a4"/>
    <w:qFormat/>
    <w:rsid w:val="005826A4"/>
    <w:rPr>
      <w:rFonts w:asciiTheme="minorHAnsi" w:eastAsiaTheme="minorEastAsia" w:hAnsiTheme="minorHAnsi" w:cstheme="minorBidi"/>
      <w:kern w:val="2"/>
      <w:sz w:val="18"/>
      <w:szCs w:val="18"/>
    </w:rPr>
  </w:style>
  <w:style w:type="character" w:customStyle="1" w:styleId="Char1">
    <w:name w:val="页眉 Char"/>
    <w:basedOn w:val="a0"/>
    <w:link w:val="a6"/>
    <w:qFormat/>
    <w:rsid w:val="005826A4"/>
    <w:rPr>
      <w:rFonts w:asciiTheme="minorHAnsi" w:eastAsiaTheme="minorEastAsia" w:hAnsiTheme="minorHAnsi" w:cstheme="minorBidi"/>
      <w:kern w:val="2"/>
      <w:sz w:val="18"/>
      <w:szCs w:val="18"/>
    </w:rPr>
  </w:style>
  <w:style w:type="character" w:customStyle="1" w:styleId="Char0">
    <w:name w:val="页脚 Char"/>
    <w:basedOn w:val="a0"/>
    <w:link w:val="a5"/>
    <w:qFormat/>
    <w:rsid w:val="005826A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1054</Words>
  <Characters>99</Characters>
  <Application>Microsoft Office Word</Application>
  <DocSecurity>0</DocSecurity>
  <Lines>1</Lines>
  <Paragraphs>2</Paragraphs>
  <ScaleCrop>false</ScaleCrop>
  <Company>Hewlett-Packard Company</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胡弢</dc:creator>
  <cp:lastModifiedBy>Microsoft</cp:lastModifiedBy>
  <cp:revision>2</cp:revision>
  <cp:lastPrinted>2020-05-19T01:01:00Z</cp:lastPrinted>
  <dcterms:created xsi:type="dcterms:W3CDTF">2022-04-03T02:55:00Z</dcterms:created>
  <dcterms:modified xsi:type="dcterms:W3CDTF">2022-04-03T02:55:00Z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EB36C589287A4301816C23C1BF43B7BD</vt:lpwstr>
  </property>
</Properties>
</file>