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《教育管理学》考试大纲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参考书目：《教育管理学》第三版（陈孝彬</w:t>
      </w:r>
      <w:r>
        <w:rPr>
          <w:rFonts w:hint="eastAsia"/>
          <w:lang w:val="en-US" w:eastAsia="zh-CN"/>
        </w:rPr>
        <w:t xml:space="preserve"> 高源洪 主编</w:t>
      </w:r>
      <w:r>
        <w:rPr>
          <w:rFonts w:hint="eastAsia"/>
          <w:lang w:eastAsia="zh-CN"/>
        </w:rPr>
        <w:t>）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eastAsia="zh-CN"/>
        </w:rPr>
        <w:t>考试内容：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教育管理学的性质和特点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教育管理学的学科性质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教育管理学的特点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现代教育管理学产生的背景和条件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第四节 教育管理学内容的三个层次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第五节 教育管理学的教与学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现代教育管理的基本概念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管理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教育管理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教育管理现代化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现代教育管理的理论基础及其流派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理性化是现代教育管理的基本特点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行政学、法学理论对现代教育管理理论的影响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“科学管理”理论对教育管理的影响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第四节 科层管理理论及其对教育管理的影响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第五节 行为科学管理理论及其对教育管理的影响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第六节 新公共管理理论对教育管理的影响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第七节 行政伦理学的发展对教育管理的影响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教育行政体制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教育行政体制及其类型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我国的教育行政体制及其改革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20世纪80年代以来外国教育行政体制改革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教育行政组织及教育行政机关工作人员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教育行政组织及其职能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教育行政机关工作人员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提高教育行政组织的效率和效益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教育政策与法律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政策概述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教育政策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教育法与教育行政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第四节 教育法体系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第五节 教育法的制定与实施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第六节 教育改革、发展与教育法规建设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教育计划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教育计划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教育预测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教育计划的结构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第四节 教育计划的编制步骤及方法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教育督导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教育督导的意义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教育督导的基本职能与具体任务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教育督导机构与人员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第四节 教育督导评估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教育财政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教育财政概述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教育财政体制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教育筹资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第四节 教育支出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教育课程行政 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教育课程的涵义及编订权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教育课程的内容构成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教育课程实施的指导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教师人事行政 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教育人事行政的涵义与意义 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教师职业的专业性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教师的任用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第四节 教师的在职培训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第五节 教师的工资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第六节 教师考核制度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教育信息的管理与公开 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教育信息及其分类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教育信息管理职能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教育信息公开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学校效能与学校改进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学校效能概述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学校效能的测量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学校管理过程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管理过程概述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学校工作决策与计划的制订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学校发展战略规划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第四节 学校计划执行阶段的管理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第五节 学校的目标管理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学校组织管理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组织概述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组织理论的发展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组织结构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第四节 学校组织建设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学校质量管理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学校工作质量管理概述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学校的全面质量管理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学校工作的质量评价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第四节 学校工作的质量控制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学校建筑管理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学校建筑管理概述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学校建筑管理的理论基础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学校建筑计划和校园建筑规划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第四节 学校教室的建设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第五节 学校重要附属建筑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学校公共关系管理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学校公共关系及其管理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学校公共关系管理过程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学校公共关系管理对象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学校领导</w:t>
      </w:r>
    </w:p>
    <w:bookmarkEnd w:id="0"/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第一节 领导概述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第二节 学校领导作者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第三节 领导方式与领导的有效性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第四节 学校领导班子的基本素质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dvOT9b12cd41+20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dvOT9b12cd41+20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AdvOT9b12cd41+20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dvOT9b12cd41+2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AdvTT5235d5a9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AdvTT5235d5a9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68735470">
    <w:nsid w:val="5D8100EE"/>
    <w:multiLevelType w:val="singleLevel"/>
    <w:tmpl w:val="5D8100EE"/>
    <w:lvl w:ilvl="0" w:tentative="1">
      <w:start w:val="1"/>
      <w:numFmt w:val="chineseCounting"/>
      <w:suff w:val="space"/>
      <w:lvlText w:val="第%1章"/>
      <w:lvlJc w:val="left"/>
    </w:lvl>
  </w:abstractNum>
  <w:num w:numId="1">
    <w:abstractNumId w:val="15687354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9679F"/>
    <w:rsid w:val="4C2538E6"/>
    <w:rsid w:val="5890733F"/>
    <w:rsid w:val="6FB967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0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宋体" w:asciiTheme="minorAscii" w:hAnsiTheme="minorAscii"/>
      <w:b/>
      <w:sz w:val="2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2019-09-17T15:33:00Z</dcterms:created>
  <dc:creator>sy</dc:creator>
  <cp:lastModifiedBy>sy</cp:lastModifiedBy>
  <dcterms:modified xsi:type="dcterms:W3CDTF">2019-09-17T16:26:59Z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