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color w:val="000000"/>
          <w:sz w:val="36"/>
          <w:szCs w:val="36"/>
        </w:rPr>
      </w:pPr>
      <w:r>
        <w:rPr>
          <w:rFonts w:hint="eastAsia" w:ascii="黑体" w:hAnsi="黑体" w:eastAsia="黑体"/>
          <w:sz w:val="36"/>
          <w:szCs w:val="36"/>
        </w:rPr>
        <w:t>艺术硕士</w:t>
      </w:r>
      <w:r>
        <w:rPr>
          <w:rFonts w:hint="eastAsia" w:ascii="黑体" w:hAnsi="黑体" w:eastAsia="黑体" w:cs="Times New Roman"/>
          <w:color w:val="000000"/>
          <w:sz w:val="36"/>
          <w:szCs w:val="36"/>
        </w:rPr>
        <w:t>135108</w:t>
      </w:r>
    </w:p>
    <w:p>
      <w:pPr>
        <w:spacing w:line="360" w:lineRule="auto"/>
        <w:jc w:val="center"/>
        <w:rPr>
          <w:rFonts w:ascii="黑体" w:hAnsi="黑体" w:eastAsia="黑体" w:cs="Times New Roman"/>
          <w:color w:val="000000"/>
          <w:sz w:val="36"/>
          <w:szCs w:val="36"/>
        </w:rPr>
      </w:pPr>
    </w:p>
    <w:p>
      <w:pPr>
        <w:jc w:val="left"/>
        <w:rPr>
          <w:rFonts w:ascii="宋体" w:hAnsi="宋体" w:eastAsia="宋体" w:cs="Times New Roman"/>
          <w:color w:val="000000"/>
          <w:sz w:val="24"/>
          <w:szCs w:val="24"/>
        </w:rPr>
      </w:pPr>
      <w:r>
        <w:rPr>
          <w:rFonts w:hint="eastAsia" w:ascii="宋体" w:hAnsi="宋体"/>
          <w:b/>
          <w:sz w:val="24"/>
        </w:rPr>
        <w:t>学科点简介:</w:t>
      </w:r>
      <w:r>
        <w:rPr>
          <w:rFonts w:hint="eastAsia" w:ascii="宋体" w:hAnsi="宋体" w:eastAsia="宋体" w:cs="Times New Roman"/>
          <w:color w:val="000000"/>
          <w:sz w:val="24"/>
          <w:szCs w:val="24"/>
        </w:rPr>
        <w:t>艺术硕士专业学位隶属于广东财经大学艺术与设计学院,是广东财经大学十二个硕士专业学位授权点之一。艺术与设计学院以培养创新思维、市场策划与设计执行能力为特长，形成了教学、科研、社会服务三位一体的专业发展和人才培养模式，具有商科背景的设计专业特色。学院专业教学设施先进，配备空间信息实验室、参数化设计实验室、数字媒体实验室等，并与国内一流企业建立了联合培养基地。现有硕士生导师</w:t>
      </w:r>
      <w:r>
        <w:rPr>
          <w:rFonts w:hint="eastAsia" w:ascii="宋体" w:hAnsi="宋体" w:eastAsia="宋体" w:cs="Times New Roman"/>
          <w:color w:val="000000"/>
          <w:sz w:val="24"/>
          <w:szCs w:val="24"/>
          <w:lang w:val="en-US" w:eastAsia="zh-CN"/>
        </w:rPr>
        <w:t>14</w:t>
      </w:r>
      <w:r>
        <w:rPr>
          <w:rFonts w:hint="eastAsia" w:ascii="宋体" w:hAnsi="宋体" w:eastAsia="宋体" w:cs="Times New Roman"/>
          <w:color w:val="000000"/>
          <w:sz w:val="24"/>
          <w:szCs w:val="24"/>
        </w:rPr>
        <w:t>人，校外导师</w:t>
      </w:r>
      <w:r>
        <w:rPr>
          <w:rFonts w:hint="eastAsia" w:ascii="宋体" w:hAnsi="宋体" w:eastAsia="宋体" w:cs="Times New Roman"/>
          <w:color w:val="000000"/>
          <w:sz w:val="24"/>
          <w:szCs w:val="24"/>
          <w:lang w:val="en-US" w:eastAsia="zh-CN"/>
        </w:rPr>
        <w:t>9</w:t>
      </w:r>
      <w:bookmarkStart w:id="0" w:name="_GoBack"/>
      <w:bookmarkEnd w:id="0"/>
      <w:r>
        <w:rPr>
          <w:rFonts w:hint="eastAsia" w:ascii="宋体" w:hAnsi="宋体" w:eastAsia="宋体" w:cs="Times New Roman"/>
          <w:color w:val="000000"/>
          <w:sz w:val="24"/>
          <w:szCs w:val="24"/>
        </w:rPr>
        <w:t>人，承担国家、教育部及省市厅级各类科研课题，在国内外艺术类权威重要期刊上发表了一批高水平的论文，社会服务能力强，横向课题经费逐年递增。</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color w:val="000000"/>
          <w:sz w:val="24"/>
        </w:rPr>
      </w:pPr>
    </w:p>
    <w:p>
      <w:pPr>
        <w:jc w:val="left"/>
        <w:rPr>
          <w:rFonts w:hint="eastAsia" w:ascii="宋体" w:hAnsi="宋体"/>
          <w:color w:val="000000"/>
          <w:sz w:val="24"/>
        </w:rPr>
      </w:pPr>
      <w:r>
        <w:rPr>
          <w:rFonts w:hint="eastAsia" w:ascii="宋体" w:hAnsi="宋体"/>
          <w:b/>
          <w:sz w:val="24"/>
        </w:rPr>
        <w:t>培养目标：</w:t>
      </w:r>
      <w:r>
        <w:rPr>
          <w:rFonts w:hint="eastAsia" w:ascii="宋体" w:hAnsi="宋体"/>
          <w:color w:val="000000"/>
          <w:sz w:val="24"/>
        </w:rPr>
        <w:t>艺术硕士专业学位教育面向国家经济建设和社会发展需求，积极融入“一带一路”、“粤港澳大湾区”、“广东自贸区”等国家和区域重大发展战略，培养具有良好职业道德、系统专业知识和高水平艺术设计技能，德、智、体、美全面发展的应用型、复合型高层次专门人才。毕业生能够胜任企业、院校、政府等部门所需要的艺术设计实践、管理、教学、策划和组织等工作，并具备自主创业的能力。</w:t>
      </w:r>
    </w:p>
    <w:p>
      <w:pPr>
        <w:jc w:val="left"/>
        <w:rPr>
          <w:rFonts w:hint="eastAsia" w:ascii="宋体" w:hAnsi="宋体"/>
          <w:color w:val="000000"/>
          <w:sz w:val="24"/>
        </w:rPr>
      </w:pPr>
    </w:p>
    <w:p>
      <w:pPr>
        <w:spacing w:line="360" w:lineRule="auto"/>
        <w:jc w:val="left"/>
        <w:rPr>
          <w:rFonts w:ascii="宋体" w:hAnsi="宋体"/>
          <w:color w:val="000000"/>
          <w:sz w:val="24"/>
        </w:rPr>
      </w:pPr>
    </w:p>
    <w:p>
      <w:pPr>
        <w:jc w:val="left"/>
        <w:rPr>
          <w:rFonts w:ascii="宋体" w:hAnsi="宋体"/>
          <w:color w:val="000000"/>
          <w:sz w:val="24"/>
        </w:rPr>
      </w:pPr>
      <w:r>
        <w:rPr>
          <w:rFonts w:hint="eastAsia" w:ascii="宋体" w:hAnsi="宋体"/>
          <w:b/>
          <w:color w:val="000000"/>
          <w:sz w:val="24"/>
        </w:rPr>
        <w:t>主要课程：</w:t>
      </w:r>
      <w:r>
        <w:rPr>
          <w:rFonts w:hint="eastAsia" w:ascii="宋体" w:hAnsi="宋体"/>
          <w:color w:val="000000"/>
          <w:sz w:val="24"/>
        </w:rPr>
        <w:t>设计历史与当代思潮、设计运行机制研究、设计范式与创新、设计策划与评估、岭南地域文化生成与设计发展、人工智能与环境设计、传统工艺与现代设计、品牌IP产品设计研究、产品创新设计、设计思维研究、创意产业研究、环境设计专题、工业设计专题、视觉传达与媒体设计专题等。</w:t>
      </w:r>
    </w:p>
    <w:p>
      <w:pPr>
        <w:spacing w:line="360" w:lineRule="auto"/>
        <w:jc w:val="left"/>
        <w:rPr>
          <w:rFonts w:ascii="宋体" w:hAnsi="宋体"/>
          <w:b/>
          <w:color w:val="000000"/>
          <w:sz w:val="24"/>
        </w:rPr>
      </w:pPr>
    </w:p>
    <w:p>
      <w:pPr>
        <w:spacing w:line="360" w:lineRule="auto"/>
        <w:jc w:val="left"/>
        <w:rPr>
          <w:rFonts w:ascii="宋体" w:hAnsi="宋体"/>
          <w:b/>
          <w:color w:val="000000"/>
          <w:sz w:val="24"/>
        </w:rPr>
      </w:pPr>
    </w:p>
    <w:p>
      <w:pPr>
        <w:spacing w:line="360" w:lineRule="auto"/>
        <w:jc w:val="left"/>
        <w:rPr>
          <w:sz w:val="24"/>
        </w:rPr>
      </w:pPr>
      <w:r>
        <w:rPr>
          <w:rFonts w:hint="eastAsia" w:ascii="宋体" w:hAnsi="宋体"/>
          <w:b/>
          <w:color w:val="000000"/>
          <w:sz w:val="24"/>
        </w:rPr>
        <w:t>就业方向：</w:t>
      </w:r>
      <w:r>
        <w:rPr>
          <w:rFonts w:hint="eastAsia" w:ascii="宋体" w:hAnsi="宋体"/>
          <w:color w:val="000000"/>
          <w:sz w:val="24"/>
        </w:rPr>
        <w:t>政府管理部门、教学科研单位、大中型企业的设计实践与管理岗位。</w:t>
      </w: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eastAsia" w:ascii="宋体" w:hAnsi="宋体"/>
          <w:b/>
          <w:color w:val="000000"/>
          <w:sz w:val="24"/>
        </w:rPr>
      </w:pPr>
    </w:p>
    <w:p>
      <w:pPr>
        <w:adjustRightInd w:val="0"/>
        <w:snapToGrid w:val="0"/>
        <w:spacing w:line="360" w:lineRule="auto"/>
        <w:rPr>
          <w:rFonts w:hint="default" w:ascii="宋体" w:hAnsi="宋体" w:eastAsiaTheme="minorEastAsia"/>
          <w:b/>
          <w:color w:val="000000"/>
          <w:sz w:val="24"/>
          <w:lang w:val="en-US" w:eastAsia="zh-CN"/>
        </w:rPr>
      </w:pPr>
      <w:r>
        <w:rPr>
          <w:rFonts w:hint="eastAsia" w:ascii="宋体" w:hAnsi="宋体"/>
          <w:b/>
          <w:color w:val="000000"/>
          <w:sz w:val="24"/>
        </w:rPr>
        <w:t>专业代码：</w:t>
      </w:r>
      <w:r>
        <w:rPr>
          <w:rFonts w:ascii="宋体" w:hAnsi="宋体"/>
          <w:b/>
          <w:color w:val="000000"/>
          <w:sz w:val="24"/>
        </w:rPr>
        <w:t>13510</w:t>
      </w:r>
      <w:r>
        <w:rPr>
          <w:rFonts w:hint="eastAsia" w:ascii="宋体" w:hAnsi="宋体"/>
          <w:b/>
          <w:color w:val="000000"/>
          <w:sz w:val="24"/>
        </w:rPr>
        <w:t>8                         咨询电话：020-8409</w:t>
      </w:r>
      <w:r>
        <w:rPr>
          <w:rFonts w:hint="eastAsia" w:ascii="宋体" w:hAnsi="宋体"/>
          <w:b/>
          <w:color w:val="000000"/>
          <w:sz w:val="24"/>
          <w:lang w:val="en-US" w:eastAsia="zh-CN"/>
        </w:rPr>
        <w:t>6620</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82"/>
        <w:gridCol w:w="2835"/>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8" w:type="dxa"/>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序号</w:t>
            </w:r>
          </w:p>
        </w:tc>
        <w:tc>
          <w:tcPr>
            <w:tcW w:w="2682" w:type="dxa"/>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研究方向</w:t>
            </w:r>
          </w:p>
        </w:tc>
        <w:tc>
          <w:tcPr>
            <w:tcW w:w="2835" w:type="dxa"/>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初试科目</w:t>
            </w:r>
          </w:p>
        </w:tc>
        <w:tc>
          <w:tcPr>
            <w:tcW w:w="2223" w:type="dxa"/>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82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2682" w:type="dxa"/>
            <w:vAlign w:val="center"/>
          </w:tcPr>
          <w:p>
            <w:pPr>
              <w:adjustRightInd w:val="0"/>
              <w:snapToGrid w:val="0"/>
              <w:spacing w:line="360" w:lineRule="auto"/>
              <w:rPr>
                <w:rFonts w:ascii="宋体" w:hAnsi="宋体"/>
                <w:color w:val="000000"/>
                <w:sz w:val="24"/>
              </w:rPr>
            </w:pPr>
            <w:r>
              <w:rPr>
                <w:rFonts w:hint="eastAsia" w:ascii="宋体" w:hAnsi="宋体"/>
                <w:color w:val="000000"/>
                <w:sz w:val="24"/>
              </w:rPr>
              <w:t>环境设计</w:t>
            </w:r>
          </w:p>
        </w:tc>
        <w:tc>
          <w:tcPr>
            <w:tcW w:w="2835" w:type="dxa"/>
            <w:vMerge w:val="restart"/>
            <w:vAlign w:val="center"/>
          </w:tcPr>
          <w:p>
            <w:pPr>
              <w:spacing w:line="360" w:lineRule="auto"/>
              <w:rPr>
                <w:rFonts w:ascii="宋体" w:hAnsi="宋体"/>
                <w:color w:val="000000"/>
                <w:sz w:val="24"/>
                <w:szCs w:val="24"/>
              </w:rPr>
            </w:pPr>
            <w:r>
              <w:rPr>
                <w:rFonts w:hint="eastAsia" w:ascii="宋体" w:hAnsi="宋体"/>
                <w:color w:val="000000"/>
                <w:sz w:val="24"/>
                <w:szCs w:val="24"/>
              </w:rPr>
              <w:t>（1）</w:t>
            </w:r>
            <w:r>
              <w:rPr>
                <w:rFonts w:hint="eastAsia" w:ascii="宋体" w:hAnsi="宋体"/>
              </w:rPr>
              <w:t>▲</w:t>
            </w:r>
            <w:r>
              <w:rPr>
                <w:rFonts w:hint="eastAsia" w:ascii="宋体" w:hAnsi="宋体"/>
                <w:color w:val="000000"/>
                <w:sz w:val="24"/>
                <w:szCs w:val="24"/>
              </w:rPr>
              <w:t>思想政治理论（100分）</w:t>
            </w:r>
          </w:p>
          <w:p>
            <w:pPr>
              <w:spacing w:line="360" w:lineRule="auto"/>
              <w:rPr>
                <w:rFonts w:ascii="宋体" w:hAnsi="宋体"/>
                <w:color w:val="000000"/>
                <w:sz w:val="24"/>
                <w:szCs w:val="24"/>
              </w:rPr>
            </w:pPr>
            <w:r>
              <w:rPr>
                <w:rFonts w:hint="eastAsia" w:ascii="宋体" w:hAnsi="宋体"/>
                <w:color w:val="000000"/>
                <w:sz w:val="24"/>
                <w:szCs w:val="24"/>
              </w:rPr>
              <w:t>（2）</w:t>
            </w:r>
            <w:r>
              <w:rPr>
                <w:rFonts w:hint="eastAsia" w:ascii="宋体" w:hAnsi="宋体"/>
                <w:b/>
              </w:rPr>
              <w:t>▲</w:t>
            </w:r>
            <w:r>
              <w:rPr>
                <w:rFonts w:hint="eastAsia" w:ascii="宋体" w:hAnsi="宋体"/>
                <w:color w:val="000000"/>
                <w:sz w:val="24"/>
                <w:szCs w:val="24"/>
              </w:rPr>
              <w:t>英语二（100分）（3）专题设计[艺术硕士]（150分，6小时）</w:t>
            </w:r>
          </w:p>
          <w:p>
            <w:pPr>
              <w:spacing w:line="360" w:lineRule="auto"/>
              <w:rPr>
                <w:rFonts w:ascii="宋体" w:hAnsi="宋体"/>
                <w:color w:val="000000"/>
                <w:sz w:val="24"/>
                <w:szCs w:val="24"/>
              </w:rPr>
            </w:pPr>
            <w:r>
              <w:rPr>
                <w:rFonts w:hint="eastAsia" w:ascii="宋体" w:hAnsi="宋体"/>
                <w:color w:val="000000"/>
                <w:sz w:val="24"/>
                <w:szCs w:val="24"/>
              </w:rPr>
              <w:t>（4）设计综合理论[艺术硕士]（150分）</w:t>
            </w:r>
          </w:p>
        </w:tc>
        <w:tc>
          <w:tcPr>
            <w:tcW w:w="2223" w:type="dxa"/>
            <w:vMerge w:val="restart"/>
            <w:vAlign w:val="center"/>
          </w:tcPr>
          <w:p>
            <w:pPr>
              <w:spacing w:line="360" w:lineRule="auto"/>
              <w:rPr>
                <w:rFonts w:ascii="宋体" w:hAnsi="宋体"/>
                <w:color w:val="000000"/>
                <w:sz w:val="24"/>
                <w:szCs w:val="24"/>
              </w:rPr>
            </w:pPr>
            <w:r>
              <w:rPr>
                <w:rFonts w:hint="eastAsia" w:ascii="宋体" w:hAnsi="宋体"/>
                <w:color w:val="000000"/>
                <w:sz w:val="24"/>
                <w:szCs w:val="24"/>
              </w:rPr>
              <w:t>F539-理论专题[艺术硕士]（100分）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82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2682" w:type="dxa"/>
            <w:vAlign w:val="center"/>
          </w:tcPr>
          <w:p>
            <w:pPr>
              <w:adjustRightInd w:val="0"/>
              <w:snapToGrid w:val="0"/>
              <w:spacing w:line="360" w:lineRule="auto"/>
              <w:rPr>
                <w:rFonts w:ascii="宋体" w:hAnsi="宋体"/>
                <w:color w:val="000000"/>
                <w:sz w:val="24"/>
              </w:rPr>
            </w:pPr>
            <w:r>
              <w:rPr>
                <w:rFonts w:hint="eastAsia" w:ascii="宋体" w:hAnsi="宋体"/>
                <w:color w:val="000000"/>
                <w:sz w:val="24"/>
              </w:rPr>
              <w:t>工业设计</w:t>
            </w:r>
          </w:p>
        </w:tc>
        <w:tc>
          <w:tcPr>
            <w:tcW w:w="2835" w:type="dxa"/>
            <w:vMerge w:val="continue"/>
            <w:vAlign w:val="center"/>
          </w:tcPr>
          <w:p>
            <w:pPr>
              <w:spacing w:line="360" w:lineRule="auto"/>
              <w:jc w:val="center"/>
              <w:rPr>
                <w:rFonts w:ascii="宋体" w:hAnsi="宋体"/>
                <w:color w:val="000000"/>
              </w:rPr>
            </w:pPr>
          </w:p>
        </w:tc>
        <w:tc>
          <w:tcPr>
            <w:tcW w:w="2223" w:type="dxa"/>
            <w:vMerge w:val="continue"/>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82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2682" w:type="dxa"/>
            <w:vAlign w:val="center"/>
          </w:tcPr>
          <w:p>
            <w:pPr>
              <w:adjustRightInd w:val="0"/>
              <w:snapToGrid w:val="0"/>
              <w:spacing w:line="360" w:lineRule="auto"/>
              <w:rPr>
                <w:rFonts w:ascii="宋体" w:hAnsi="宋体"/>
                <w:color w:val="000000"/>
                <w:sz w:val="24"/>
              </w:rPr>
            </w:pPr>
            <w:r>
              <w:rPr>
                <w:rFonts w:hint="eastAsia" w:ascii="宋体" w:hAnsi="宋体"/>
                <w:color w:val="000000"/>
                <w:sz w:val="24"/>
              </w:rPr>
              <w:t>视觉传达与媒体设计</w:t>
            </w:r>
          </w:p>
        </w:tc>
        <w:tc>
          <w:tcPr>
            <w:tcW w:w="2835" w:type="dxa"/>
            <w:vMerge w:val="continue"/>
            <w:vAlign w:val="center"/>
          </w:tcPr>
          <w:p>
            <w:pPr>
              <w:spacing w:line="360" w:lineRule="auto"/>
              <w:jc w:val="center"/>
              <w:rPr>
                <w:rFonts w:ascii="宋体" w:hAnsi="宋体"/>
                <w:color w:val="000000"/>
              </w:rPr>
            </w:pPr>
          </w:p>
        </w:tc>
        <w:tc>
          <w:tcPr>
            <w:tcW w:w="2223" w:type="dxa"/>
            <w:vMerge w:val="continue"/>
            <w:vAlign w:val="center"/>
          </w:tcPr>
          <w:p>
            <w:pPr>
              <w:spacing w:line="360" w:lineRule="auto"/>
              <w:jc w:val="center"/>
              <w:rPr>
                <w:rFonts w:ascii="宋体" w:hAnsi="宋体"/>
                <w:color w:val="000000"/>
              </w:rPr>
            </w:pPr>
          </w:p>
        </w:tc>
      </w:tr>
    </w:tbl>
    <w:p>
      <w:pPr>
        <w:adjustRightInd w:val="0"/>
        <w:snapToGrid w:val="0"/>
        <w:spacing w:line="360" w:lineRule="auto"/>
        <w:rPr>
          <w:rFonts w:ascii="宋体" w:hAnsi="宋体" w:cs="宋体"/>
          <w:b/>
          <w:sz w:val="24"/>
        </w:rPr>
      </w:pPr>
      <w:r>
        <w:rPr>
          <w:rFonts w:hint="eastAsia" w:ascii="宋体" w:hAnsi="宋体" w:cs="宋体"/>
          <w:b/>
          <w:sz w:val="24"/>
        </w:rPr>
        <w:t>▲表示统考科目或联考科目，考试题型、考试大纲以教育部公布为准,其他为自命题科目。</w:t>
      </w:r>
    </w:p>
    <w:p>
      <w:pPr>
        <w:snapToGrid w:val="0"/>
        <w:spacing w:line="360" w:lineRule="auto"/>
        <w:rPr>
          <w:rFonts w:eastAsia="黑体"/>
          <w:b/>
          <w:sz w:val="24"/>
        </w:rPr>
      </w:pPr>
    </w:p>
    <w:p>
      <w:pPr>
        <w:snapToGrid w:val="0"/>
        <w:spacing w:line="360" w:lineRule="auto"/>
        <w:rPr>
          <w:rFonts w:cs="宋体" w:asciiTheme="minorEastAsia" w:hAnsiTheme="minorEastAsia"/>
          <w:b/>
          <w:sz w:val="24"/>
        </w:rPr>
      </w:pPr>
      <w:r>
        <w:rPr>
          <w:rFonts w:hint="eastAsia" w:cs="宋体" w:asciiTheme="minorEastAsia" w:hAnsiTheme="minorEastAsia"/>
          <w:b/>
          <w:sz w:val="24"/>
        </w:rPr>
        <w:t>自命题考试题型及相应分值：</w:t>
      </w:r>
    </w:p>
    <w:p>
      <w:pPr>
        <w:widowControl/>
        <w:snapToGrid w:val="0"/>
        <w:rPr>
          <w:rFonts w:cs="宋体" w:asciiTheme="minorEastAsia" w:hAnsiTheme="minorEastAsia"/>
          <w:b/>
          <w:kern w:val="0"/>
          <w:sz w:val="24"/>
        </w:rPr>
      </w:pPr>
      <w:r>
        <w:rPr>
          <w:rFonts w:hint="eastAsia" w:cs="宋体" w:asciiTheme="minorEastAsia" w:hAnsiTheme="minorEastAsia"/>
          <w:b/>
          <w:kern w:val="0"/>
          <w:sz w:val="24"/>
        </w:rPr>
        <w:t>《专题设计》（艺术硕士）</w:t>
      </w:r>
    </w:p>
    <w:p>
      <w:pPr>
        <w:pStyle w:val="8"/>
        <w:shd w:val="solid" w:color="FFFFFF" w:fill="auto"/>
        <w:autoSpaceDN w:val="0"/>
        <w:ind w:firstLine="0" w:firstLineChars="0"/>
        <w:rPr>
          <w:rFonts w:cs="宋体" w:asciiTheme="minorEastAsia" w:hAnsiTheme="minorEastAsia"/>
          <w:sz w:val="24"/>
          <w:szCs w:val="21"/>
          <w:shd w:val="clear" w:color="auto" w:fill="FFFFFF"/>
        </w:rPr>
      </w:pPr>
      <w:r>
        <w:rPr>
          <w:rFonts w:hint="eastAsia" w:cs="宋体" w:asciiTheme="minorEastAsia" w:hAnsiTheme="minorEastAsia"/>
          <w:sz w:val="24"/>
          <w:szCs w:val="21"/>
          <w:shd w:val="clear" w:color="auto" w:fill="FFFFFF"/>
        </w:rPr>
        <w:t>（1）设计题（1题，每题150分，共150分，6小时）</w:t>
      </w:r>
    </w:p>
    <w:p>
      <w:pPr>
        <w:widowControl/>
        <w:snapToGrid w:val="0"/>
        <w:rPr>
          <w:rFonts w:ascii="宋体" w:hAnsi="宋体" w:cs="宋体"/>
          <w:b/>
          <w:kern w:val="0"/>
          <w:sz w:val="24"/>
        </w:rPr>
      </w:pPr>
      <w:r>
        <w:rPr>
          <w:rFonts w:ascii="宋体" w:hAnsi="宋体" w:cs="宋体"/>
          <w:b/>
          <w:kern w:val="0"/>
          <w:sz w:val="24"/>
        </w:rPr>
        <w:t>《</w:t>
      </w:r>
      <w:r>
        <w:rPr>
          <w:rFonts w:hint="eastAsia" w:ascii="宋体" w:hAnsi="宋体" w:cs="宋体"/>
          <w:b/>
          <w:kern w:val="0"/>
          <w:sz w:val="24"/>
        </w:rPr>
        <w:t>设计综合理论</w:t>
      </w:r>
      <w:r>
        <w:rPr>
          <w:rFonts w:ascii="宋体" w:hAnsi="宋体" w:cs="宋体"/>
          <w:b/>
          <w:kern w:val="0"/>
          <w:sz w:val="24"/>
        </w:rPr>
        <w:t>》</w:t>
      </w:r>
      <w:r>
        <w:rPr>
          <w:rFonts w:hint="eastAsia" w:ascii="宋体" w:hAnsi="宋体" w:cs="宋体"/>
          <w:b/>
          <w:kern w:val="0"/>
          <w:sz w:val="24"/>
        </w:rPr>
        <w:t>（艺术硕士）</w:t>
      </w:r>
    </w:p>
    <w:p>
      <w:pPr>
        <w:pStyle w:val="8"/>
        <w:shd w:val="solid" w:color="FFFFFF" w:fill="auto"/>
        <w:autoSpaceDN w:val="0"/>
        <w:ind w:firstLine="0" w:firstLineChars="0"/>
        <w:rPr>
          <w:rFonts w:cs="宋体" w:asciiTheme="minorEastAsia" w:hAnsiTheme="minorEastAsia"/>
          <w:sz w:val="24"/>
          <w:szCs w:val="21"/>
          <w:shd w:val="clear" w:color="auto" w:fill="FFFFFF"/>
        </w:rPr>
      </w:pPr>
      <w:r>
        <w:rPr>
          <w:rFonts w:hint="eastAsia" w:cs="宋体" w:asciiTheme="minorEastAsia" w:hAnsiTheme="minorEastAsia"/>
          <w:sz w:val="24"/>
          <w:szCs w:val="21"/>
          <w:shd w:val="clear" w:color="auto" w:fill="FFFFFF"/>
        </w:rPr>
        <w:t>（1）名词解释（6题，每题5分，共30分）</w:t>
      </w:r>
    </w:p>
    <w:p>
      <w:pPr>
        <w:pStyle w:val="8"/>
        <w:shd w:val="solid" w:color="FFFFFF" w:fill="auto"/>
        <w:autoSpaceDN w:val="0"/>
        <w:ind w:firstLine="0" w:firstLineChars="0"/>
        <w:rPr>
          <w:rFonts w:cs="宋体" w:asciiTheme="minorEastAsia" w:hAnsiTheme="minorEastAsia"/>
          <w:sz w:val="24"/>
          <w:szCs w:val="21"/>
          <w:shd w:val="clear" w:color="auto" w:fill="FFFFFF"/>
        </w:rPr>
      </w:pPr>
      <w:r>
        <w:rPr>
          <w:rFonts w:hint="eastAsia" w:cs="宋体" w:asciiTheme="minorEastAsia" w:hAnsiTheme="minorEastAsia"/>
          <w:sz w:val="24"/>
          <w:szCs w:val="21"/>
          <w:shd w:val="clear" w:color="auto" w:fill="FFFFFF"/>
        </w:rPr>
        <w:t>（2）简答题（4题，每题15分，共60分）</w:t>
      </w:r>
    </w:p>
    <w:p>
      <w:pPr>
        <w:pStyle w:val="8"/>
        <w:shd w:val="solid" w:color="FFFFFF" w:fill="auto"/>
        <w:autoSpaceDN w:val="0"/>
        <w:ind w:firstLine="0" w:firstLineChars="0"/>
        <w:rPr>
          <w:rFonts w:cs="宋体" w:asciiTheme="minorEastAsia" w:hAnsiTheme="minorEastAsia"/>
          <w:sz w:val="24"/>
          <w:szCs w:val="21"/>
          <w:shd w:val="clear" w:color="auto" w:fill="FFFFFF"/>
        </w:rPr>
      </w:pPr>
      <w:r>
        <w:rPr>
          <w:rFonts w:hint="eastAsia" w:cs="宋体" w:asciiTheme="minorEastAsia" w:hAnsiTheme="minorEastAsia"/>
          <w:sz w:val="24"/>
          <w:szCs w:val="21"/>
          <w:shd w:val="clear" w:color="auto" w:fill="FFFFFF"/>
        </w:rPr>
        <w:t>（3）论述题（2题，每题30分，共60分）</w:t>
      </w:r>
    </w:p>
    <w:p>
      <w:pPr>
        <w:widowControl/>
        <w:snapToGrid w:val="0"/>
        <w:rPr>
          <w:rFonts w:ascii="宋体" w:hAnsi="宋体" w:cs="宋体"/>
          <w:b/>
          <w:kern w:val="0"/>
          <w:sz w:val="24"/>
        </w:rPr>
      </w:pPr>
      <w:r>
        <w:rPr>
          <w:rFonts w:hint="eastAsia" w:ascii="宋体" w:hAnsi="宋体" w:cs="宋体"/>
          <w:b/>
          <w:kern w:val="0"/>
          <w:sz w:val="24"/>
        </w:rPr>
        <w:t>《理论专题》（艺术硕士）</w:t>
      </w:r>
    </w:p>
    <w:p>
      <w:pPr>
        <w:pStyle w:val="8"/>
        <w:shd w:val="solid" w:color="FFFFFF" w:fill="auto"/>
        <w:autoSpaceDN w:val="0"/>
        <w:ind w:firstLine="0" w:firstLineChars="0"/>
        <w:rPr>
          <w:rFonts w:cs="宋体" w:asciiTheme="minorEastAsia" w:hAnsiTheme="minorEastAsia"/>
          <w:sz w:val="24"/>
          <w:szCs w:val="21"/>
          <w:shd w:val="clear" w:color="auto" w:fill="FFFFFF"/>
        </w:rPr>
      </w:pPr>
      <w:r>
        <w:rPr>
          <w:rFonts w:hint="eastAsia" w:cs="宋体" w:asciiTheme="minorEastAsia" w:hAnsiTheme="minorEastAsia"/>
          <w:sz w:val="24"/>
          <w:szCs w:val="21"/>
          <w:shd w:val="clear" w:color="auto" w:fill="FFFFFF"/>
        </w:rPr>
        <w:t>（1）自命题（1题，每题100分，共100分，2小时）</w:t>
      </w:r>
    </w:p>
    <w:p>
      <w:pPr>
        <w:spacing w:line="360" w:lineRule="auto"/>
        <w:jc w:val="left"/>
        <w:rPr>
          <w:sz w:val="28"/>
        </w:rPr>
      </w:pPr>
    </w:p>
    <w:p>
      <w:pPr>
        <w:adjustRightInd w:val="0"/>
        <w:snapToGrid w:val="0"/>
        <w:spacing w:line="360" w:lineRule="auto"/>
        <w:rPr>
          <w:rFonts w:ascii="宋体" w:hAnsi="宋体" w:cs="宋体"/>
          <w:b/>
          <w:sz w:val="24"/>
        </w:rPr>
      </w:pPr>
      <w:r>
        <w:rPr>
          <w:rFonts w:hint="eastAsia" w:ascii="宋体" w:hAnsi="宋体" w:cs="宋体"/>
          <w:b/>
          <w:sz w:val="24"/>
        </w:rPr>
        <w:t>考试大纲</w:t>
      </w:r>
    </w:p>
    <w:p>
      <w:pPr>
        <w:adjustRightInd w:val="0"/>
        <w:snapToGrid w:val="0"/>
        <w:spacing w:line="360" w:lineRule="auto"/>
        <w:rPr>
          <w:rFonts w:ascii="宋体" w:hAnsi="宋体"/>
          <w:b/>
          <w:sz w:val="24"/>
        </w:rPr>
      </w:pPr>
    </w:p>
    <w:p>
      <w:pPr>
        <w:widowControl/>
        <w:snapToGrid w:val="0"/>
        <w:spacing w:line="360" w:lineRule="auto"/>
        <w:jc w:val="center"/>
        <w:rPr>
          <w:rFonts w:ascii="宋体" w:hAnsi="宋体" w:cs="宋体"/>
          <w:b/>
          <w:bCs/>
          <w:kern w:val="0"/>
          <w:sz w:val="32"/>
          <w:szCs w:val="32"/>
        </w:rPr>
      </w:pPr>
      <w:r>
        <w:rPr>
          <w:rFonts w:hint="eastAsia" w:ascii="黑体" w:hAnsi="黑体" w:eastAsia="黑体" w:cs="黑体"/>
          <w:b/>
          <w:bCs/>
          <w:kern w:val="0"/>
          <w:sz w:val="36"/>
          <w:szCs w:val="36"/>
        </w:rPr>
        <w:t>《专题设计》（艺术硕士）</w:t>
      </w:r>
    </w:p>
    <w:p>
      <w:pPr>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《专题设计》考试大纲概述：</w:t>
      </w:r>
    </w:p>
    <w:p>
      <w:pPr>
        <w:widowControl/>
        <w:snapToGrid w:val="0"/>
        <w:ind w:firstLine="480"/>
        <w:rPr>
          <w:rFonts w:ascii="宋体" w:hAnsi="宋体" w:cs="宋体"/>
          <w:color w:val="000000"/>
          <w:sz w:val="24"/>
          <w:shd w:val="clear" w:color="auto" w:fill="FFFFFF"/>
        </w:rPr>
      </w:pPr>
      <w:r>
        <w:rPr>
          <w:rFonts w:hint="eastAsia" w:ascii="宋体" w:hAnsi="宋体" w:cs="宋体"/>
          <w:color w:val="000000"/>
          <w:sz w:val="24"/>
          <w:shd w:val="clear" w:color="auto" w:fill="FFFFFF"/>
        </w:rPr>
        <w:t>主题性命题设计，要求考生根据各自专业方向进行解答。测试学生对设计学基本原理、方法和技能的掌握程度，了解学生是否具有科学的表达方法与较强的逻辑思维，是否能综合运用所学知识并采用图形与文字明确地表达自己的设计意图。</w:t>
      </w:r>
    </w:p>
    <w:p>
      <w:pPr>
        <w:widowControl/>
        <w:snapToGrid w:val="0"/>
        <w:spacing w:line="360" w:lineRule="auto"/>
        <w:jc w:val="center"/>
        <w:rPr>
          <w:rFonts w:ascii="黑体" w:hAnsi="黑体" w:eastAsia="黑体" w:cs="黑体"/>
          <w:b/>
          <w:bCs/>
          <w:kern w:val="0"/>
          <w:sz w:val="36"/>
          <w:szCs w:val="36"/>
        </w:rPr>
      </w:pPr>
      <w:r>
        <w:rPr>
          <w:rFonts w:hint="eastAsia" w:ascii="黑体" w:hAnsi="黑体" w:eastAsia="黑体" w:cs="黑体"/>
          <w:b/>
          <w:bCs/>
          <w:kern w:val="0"/>
          <w:sz w:val="36"/>
          <w:szCs w:val="36"/>
        </w:rPr>
        <w:t>《设计综合理论》（艺术硕士）</w:t>
      </w:r>
    </w:p>
    <w:p>
      <w:pPr>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《设计综合理论》考试大纲概述：</w:t>
      </w:r>
    </w:p>
    <w:p>
      <w:pPr>
        <w:widowControl/>
        <w:snapToGrid w:val="0"/>
        <w:ind w:firstLine="480"/>
        <w:rPr>
          <w:rFonts w:ascii="宋体" w:hAnsi="宋体" w:cs="宋体"/>
          <w:color w:val="000000"/>
          <w:sz w:val="24"/>
          <w:shd w:val="clear" w:color="auto" w:fill="FFFFFF"/>
        </w:rPr>
      </w:pPr>
      <w:r>
        <w:rPr>
          <w:rFonts w:hint="eastAsia" w:ascii="宋体" w:hAnsi="宋体" w:cs="宋体"/>
          <w:color w:val="000000"/>
          <w:sz w:val="24"/>
          <w:shd w:val="clear" w:color="auto" w:fill="FFFFFF"/>
        </w:rPr>
        <w:t>主要内容包括设计导论、艺术设计的历史、艺术与设计的关系、科学技术与设计、设计的方法、程序和管理、设计哲学、设计与文化、设计师与设计、国际设计发展方向等。主要考查考生是否能运用设计学的基本概念、基本原理和美学原理解决涉及设计理论、设计实践中的理论问题。</w:t>
      </w:r>
    </w:p>
    <w:p>
      <w:pPr>
        <w:widowControl/>
        <w:snapToGrid w:val="0"/>
        <w:spacing w:line="360" w:lineRule="auto"/>
        <w:jc w:val="center"/>
        <w:rPr>
          <w:rFonts w:ascii="黑体" w:hAnsi="黑体" w:eastAsia="黑体" w:cs="黑体"/>
          <w:b/>
          <w:bCs/>
          <w:kern w:val="0"/>
          <w:sz w:val="36"/>
          <w:szCs w:val="36"/>
        </w:rPr>
      </w:pPr>
      <w:r>
        <w:rPr>
          <w:rFonts w:hint="eastAsia" w:ascii="黑体" w:hAnsi="黑体" w:eastAsia="黑体" w:cs="黑体"/>
          <w:b/>
          <w:bCs/>
          <w:kern w:val="0"/>
          <w:sz w:val="36"/>
          <w:szCs w:val="36"/>
        </w:rPr>
        <w:t>《理论专题》（艺术硕士）</w:t>
      </w:r>
    </w:p>
    <w:p>
      <w:pPr>
        <w:adjustRightInd w:val="0"/>
        <w:snapToGrid w:val="0"/>
        <w:spacing w:line="360" w:lineRule="auto"/>
        <w:rPr>
          <w:rFonts w:cs="宋体" w:asciiTheme="minorEastAsia" w:hAnsiTheme="minorEastAsia"/>
          <w:b/>
          <w:kern w:val="0"/>
          <w:sz w:val="24"/>
        </w:rPr>
      </w:pPr>
      <w:r>
        <w:rPr>
          <w:rFonts w:hint="eastAsia" w:cs="宋体" w:asciiTheme="minorEastAsia" w:hAnsiTheme="minorEastAsia"/>
          <w:b/>
          <w:kern w:val="0"/>
          <w:sz w:val="24"/>
        </w:rPr>
        <w:t>《理论专题》考试大纲概述</w:t>
      </w:r>
    </w:p>
    <w:p>
      <w:pPr>
        <w:widowControl/>
        <w:snapToGrid w:val="0"/>
        <w:ind w:firstLine="480"/>
        <w:rPr>
          <w:rFonts w:cs="宋体" w:asciiTheme="minorEastAsia" w:hAnsiTheme="minorEastAsia"/>
          <w:sz w:val="24"/>
          <w:shd w:val="clear" w:color="auto" w:fill="FFFFFF"/>
        </w:rPr>
      </w:pPr>
      <w:r>
        <w:rPr>
          <w:rFonts w:hint="eastAsia" w:cs="宋体" w:asciiTheme="minorEastAsia" w:hAnsiTheme="minorEastAsia"/>
          <w:sz w:val="24"/>
          <w:shd w:val="clear" w:color="auto" w:fill="FFFFFF"/>
        </w:rPr>
        <w:t>针对研究专业和方向，测试学生对所拟研究专业（方向）的基础知识掌握程度，对当下业态发展的关注和熟悉程度，以及应用综合知识解决实际问题的专业水平和研究专业的潜在能力。</w:t>
      </w:r>
    </w:p>
    <w:p>
      <w:pPr>
        <w:spacing w:line="360" w:lineRule="auto"/>
        <w:jc w:val="left"/>
        <w:rPr>
          <w:sz w:val="2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97"/>
    <w:rsid w:val="0000441C"/>
    <w:rsid w:val="00012BE8"/>
    <w:rsid w:val="00012CA7"/>
    <w:rsid w:val="00012CF4"/>
    <w:rsid w:val="00014DF5"/>
    <w:rsid w:val="000159F3"/>
    <w:rsid w:val="0003595B"/>
    <w:rsid w:val="0004145F"/>
    <w:rsid w:val="00046092"/>
    <w:rsid w:val="000548BE"/>
    <w:rsid w:val="00057247"/>
    <w:rsid w:val="00063433"/>
    <w:rsid w:val="00075A90"/>
    <w:rsid w:val="00076984"/>
    <w:rsid w:val="000804A7"/>
    <w:rsid w:val="000978F4"/>
    <w:rsid w:val="000A2ADC"/>
    <w:rsid w:val="000C51F5"/>
    <w:rsid w:val="000F100A"/>
    <w:rsid w:val="00102E22"/>
    <w:rsid w:val="001043A6"/>
    <w:rsid w:val="001131D2"/>
    <w:rsid w:val="00131BDB"/>
    <w:rsid w:val="00134CCC"/>
    <w:rsid w:val="00135573"/>
    <w:rsid w:val="001421EB"/>
    <w:rsid w:val="00142510"/>
    <w:rsid w:val="0015058C"/>
    <w:rsid w:val="00191343"/>
    <w:rsid w:val="001916D0"/>
    <w:rsid w:val="00197537"/>
    <w:rsid w:val="001A24A9"/>
    <w:rsid w:val="001B48DE"/>
    <w:rsid w:val="001C212D"/>
    <w:rsid w:val="001D732D"/>
    <w:rsid w:val="001F6F11"/>
    <w:rsid w:val="001F7939"/>
    <w:rsid w:val="00200000"/>
    <w:rsid w:val="00212BE2"/>
    <w:rsid w:val="002130B1"/>
    <w:rsid w:val="00213D16"/>
    <w:rsid w:val="00215542"/>
    <w:rsid w:val="00216237"/>
    <w:rsid w:val="002205EA"/>
    <w:rsid w:val="00222941"/>
    <w:rsid w:val="00223D77"/>
    <w:rsid w:val="0022444E"/>
    <w:rsid w:val="00243BB5"/>
    <w:rsid w:val="002615BC"/>
    <w:rsid w:val="0027516E"/>
    <w:rsid w:val="00275EE0"/>
    <w:rsid w:val="00295227"/>
    <w:rsid w:val="002B2ED5"/>
    <w:rsid w:val="002B32F3"/>
    <w:rsid w:val="002B4C15"/>
    <w:rsid w:val="002C1A86"/>
    <w:rsid w:val="002C52B1"/>
    <w:rsid w:val="0031219A"/>
    <w:rsid w:val="003216E8"/>
    <w:rsid w:val="00322D82"/>
    <w:rsid w:val="003338B8"/>
    <w:rsid w:val="00342EE7"/>
    <w:rsid w:val="00344B85"/>
    <w:rsid w:val="003549FB"/>
    <w:rsid w:val="00370ED8"/>
    <w:rsid w:val="0037797C"/>
    <w:rsid w:val="0038119F"/>
    <w:rsid w:val="00384FE6"/>
    <w:rsid w:val="00393687"/>
    <w:rsid w:val="003A2E4A"/>
    <w:rsid w:val="003B745C"/>
    <w:rsid w:val="003B7C21"/>
    <w:rsid w:val="003C5BFD"/>
    <w:rsid w:val="003E3D69"/>
    <w:rsid w:val="003F646C"/>
    <w:rsid w:val="00415BBF"/>
    <w:rsid w:val="00442DB3"/>
    <w:rsid w:val="00464062"/>
    <w:rsid w:val="004649A3"/>
    <w:rsid w:val="0046514C"/>
    <w:rsid w:val="0046578A"/>
    <w:rsid w:val="00481279"/>
    <w:rsid w:val="00493411"/>
    <w:rsid w:val="004977CD"/>
    <w:rsid w:val="004B3922"/>
    <w:rsid w:val="004C4191"/>
    <w:rsid w:val="004C504F"/>
    <w:rsid w:val="004D5049"/>
    <w:rsid w:val="004E1809"/>
    <w:rsid w:val="004E4C59"/>
    <w:rsid w:val="004E7E56"/>
    <w:rsid w:val="00510F24"/>
    <w:rsid w:val="0053134F"/>
    <w:rsid w:val="0054491D"/>
    <w:rsid w:val="00552C2E"/>
    <w:rsid w:val="005611FC"/>
    <w:rsid w:val="00566E4B"/>
    <w:rsid w:val="00570163"/>
    <w:rsid w:val="005762D4"/>
    <w:rsid w:val="00582811"/>
    <w:rsid w:val="00593DFF"/>
    <w:rsid w:val="00593F28"/>
    <w:rsid w:val="005E0DBE"/>
    <w:rsid w:val="005E4200"/>
    <w:rsid w:val="005E57D8"/>
    <w:rsid w:val="005F101E"/>
    <w:rsid w:val="005F3F6A"/>
    <w:rsid w:val="00621022"/>
    <w:rsid w:val="00635B29"/>
    <w:rsid w:val="00637D23"/>
    <w:rsid w:val="0064580F"/>
    <w:rsid w:val="00646CB3"/>
    <w:rsid w:val="0065102D"/>
    <w:rsid w:val="006568E9"/>
    <w:rsid w:val="00663366"/>
    <w:rsid w:val="00663F48"/>
    <w:rsid w:val="00664D76"/>
    <w:rsid w:val="00665938"/>
    <w:rsid w:val="00690A5A"/>
    <w:rsid w:val="00691747"/>
    <w:rsid w:val="00694FC6"/>
    <w:rsid w:val="006A3558"/>
    <w:rsid w:val="006A7288"/>
    <w:rsid w:val="006B13B5"/>
    <w:rsid w:val="006B2ABE"/>
    <w:rsid w:val="006B2BFD"/>
    <w:rsid w:val="006C2B78"/>
    <w:rsid w:val="006C6EC7"/>
    <w:rsid w:val="006D7798"/>
    <w:rsid w:val="006E0346"/>
    <w:rsid w:val="006E3A6D"/>
    <w:rsid w:val="006E52F2"/>
    <w:rsid w:val="006F6B28"/>
    <w:rsid w:val="00703CE9"/>
    <w:rsid w:val="007200CE"/>
    <w:rsid w:val="00734DB4"/>
    <w:rsid w:val="00754D86"/>
    <w:rsid w:val="00755AC2"/>
    <w:rsid w:val="00763F49"/>
    <w:rsid w:val="00767A17"/>
    <w:rsid w:val="0077560F"/>
    <w:rsid w:val="00785B1B"/>
    <w:rsid w:val="00787ECD"/>
    <w:rsid w:val="007938DF"/>
    <w:rsid w:val="007B7E46"/>
    <w:rsid w:val="007C231F"/>
    <w:rsid w:val="007C693F"/>
    <w:rsid w:val="007E6FDE"/>
    <w:rsid w:val="007F048E"/>
    <w:rsid w:val="007F4E90"/>
    <w:rsid w:val="00816F53"/>
    <w:rsid w:val="00846A2B"/>
    <w:rsid w:val="00852261"/>
    <w:rsid w:val="008528C6"/>
    <w:rsid w:val="00874C43"/>
    <w:rsid w:val="008773BB"/>
    <w:rsid w:val="008864FB"/>
    <w:rsid w:val="00895B06"/>
    <w:rsid w:val="008C4624"/>
    <w:rsid w:val="008D7AA7"/>
    <w:rsid w:val="008E00ED"/>
    <w:rsid w:val="008E474E"/>
    <w:rsid w:val="008F40FE"/>
    <w:rsid w:val="00914697"/>
    <w:rsid w:val="00914B14"/>
    <w:rsid w:val="0092433E"/>
    <w:rsid w:val="00927813"/>
    <w:rsid w:val="009507BD"/>
    <w:rsid w:val="00953631"/>
    <w:rsid w:val="009536F9"/>
    <w:rsid w:val="009655C7"/>
    <w:rsid w:val="00981A80"/>
    <w:rsid w:val="00990217"/>
    <w:rsid w:val="009946DC"/>
    <w:rsid w:val="009A0FEF"/>
    <w:rsid w:val="009B19B4"/>
    <w:rsid w:val="009B774F"/>
    <w:rsid w:val="009C0B49"/>
    <w:rsid w:val="009C12C8"/>
    <w:rsid w:val="009C2AC2"/>
    <w:rsid w:val="009C54E3"/>
    <w:rsid w:val="009D3941"/>
    <w:rsid w:val="00A00AF4"/>
    <w:rsid w:val="00A22421"/>
    <w:rsid w:val="00A22DA6"/>
    <w:rsid w:val="00A339C6"/>
    <w:rsid w:val="00A3601C"/>
    <w:rsid w:val="00A40330"/>
    <w:rsid w:val="00A421B8"/>
    <w:rsid w:val="00A5057A"/>
    <w:rsid w:val="00A540CC"/>
    <w:rsid w:val="00A54151"/>
    <w:rsid w:val="00A55524"/>
    <w:rsid w:val="00A634E1"/>
    <w:rsid w:val="00A63EF3"/>
    <w:rsid w:val="00A81516"/>
    <w:rsid w:val="00A81AD1"/>
    <w:rsid w:val="00A84BEA"/>
    <w:rsid w:val="00AB509F"/>
    <w:rsid w:val="00AB6904"/>
    <w:rsid w:val="00AC0B45"/>
    <w:rsid w:val="00AD0917"/>
    <w:rsid w:val="00AE1CF0"/>
    <w:rsid w:val="00AE6588"/>
    <w:rsid w:val="00AF27AC"/>
    <w:rsid w:val="00AF6062"/>
    <w:rsid w:val="00B12E69"/>
    <w:rsid w:val="00B16A93"/>
    <w:rsid w:val="00B544E9"/>
    <w:rsid w:val="00B6437F"/>
    <w:rsid w:val="00B80ADA"/>
    <w:rsid w:val="00B86EB2"/>
    <w:rsid w:val="00BD5D6A"/>
    <w:rsid w:val="00BD7B4B"/>
    <w:rsid w:val="00BE327D"/>
    <w:rsid w:val="00C0445E"/>
    <w:rsid w:val="00C134C7"/>
    <w:rsid w:val="00C243C4"/>
    <w:rsid w:val="00C2575C"/>
    <w:rsid w:val="00C2596D"/>
    <w:rsid w:val="00C31DD0"/>
    <w:rsid w:val="00C33D03"/>
    <w:rsid w:val="00C378AD"/>
    <w:rsid w:val="00C37A76"/>
    <w:rsid w:val="00C92737"/>
    <w:rsid w:val="00C957F1"/>
    <w:rsid w:val="00CA0897"/>
    <w:rsid w:val="00CA11C7"/>
    <w:rsid w:val="00CB5EA2"/>
    <w:rsid w:val="00CC57F6"/>
    <w:rsid w:val="00CC7990"/>
    <w:rsid w:val="00CD2409"/>
    <w:rsid w:val="00CD2F60"/>
    <w:rsid w:val="00CD5247"/>
    <w:rsid w:val="00CE6370"/>
    <w:rsid w:val="00CF66CD"/>
    <w:rsid w:val="00D0686E"/>
    <w:rsid w:val="00D1017D"/>
    <w:rsid w:val="00D12805"/>
    <w:rsid w:val="00D20AED"/>
    <w:rsid w:val="00D433C4"/>
    <w:rsid w:val="00D47BA2"/>
    <w:rsid w:val="00D47C4C"/>
    <w:rsid w:val="00D75432"/>
    <w:rsid w:val="00D766F4"/>
    <w:rsid w:val="00DA6943"/>
    <w:rsid w:val="00DB750D"/>
    <w:rsid w:val="00DB777A"/>
    <w:rsid w:val="00DD1689"/>
    <w:rsid w:val="00DE2DC3"/>
    <w:rsid w:val="00DE62BE"/>
    <w:rsid w:val="00DF07A3"/>
    <w:rsid w:val="00DF7067"/>
    <w:rsid w:val="00E03C0E"/>
    <w:rsid w:val="00E1215B"/>
    <w:rsid w:val="00E13068"/>
    <w:rsid w:val="00E133F3"/>
    <w:rsid w:val="00E13DF6"/>
    <w:rsid w:val="00E1535E"/>
    <w:rsid w:val="00E1610F"/>
    <w:rsid w:val="00E163E1"/>
    <w:rsid w:val="00E215DE"/>
    <w:rsid w:val="00E22FB4"/>
    <w:rsid w:val="00E36D72"/>
    <w:rsid w:val="00E475D7"/>
    <w:rsid w:val="00E542F2"/>
    <w:rsid w:val="00E62809"/>
    <w:rsid w:val="00E67F0C"/>
    <w:rsid w:val="00E70E18"/>
    <w:rsid w:val="00E8035D"/>
    <w:rsid w:val="00E830E1"/>
    <w:rsid w:val="00EC2971"/>
    <w:rsid w:val="00EC527D"/>
    <w:rsid w:val="00EC5A58"/>
    <w:rsid w:val="00ED0183"/>
    <w:rsid w:val="00EF22AC"/>
    <w:rsid w:val="00F042E4"/>
    <w:rsid w:val="00F126CE"/>
    <w:rsid w:val="00F13943"/>
    <w:rsid w:val="00F144AE"/>
    <w:rsid w:val="00F32683"/>
    <w:rsid w:val="00F423BF"/>
    <w:rsid w:val="00F67ED4"/>
    <w:rsid w:val="00F84AD6"/>
    <w:rsid w:val="00F85876"/>
    <w:rsid w:val="00F94417"/>
    <w:rsid w:val="00FA10CA"/>
    <w:rsid w:val="00FA2834"/>
    <w:rsid w:val="00FA62AE"/>
    <w:rsid w:val="00FB41F9"/>
    <w:rsid w:val="00FB4721"/>
    <w:rsid w:val="00FC3944"/>
    <w:rsid w:val="00FC5A96"/>
    <w:rsid w:val="00FD0CEB"/>
    <w:rsid w:val="00FD1937"/>
    <w:rsid w:val="00FF3E39"/>
    <w:rsid w:val="00FF5451"/>
    <w:rsid w:val="0DDD21AE"/>
    <w:rsid w:val="24B13C7A"/>
    <w:rsid w:val="26F927C1"/>
    <w:rsid w:val="318E2EED"/>
    <w:rsid w:val="40A43C76"/>
    <w:rsid w:val="4F921EF5"/>
    <w:rsid w:val="58E76FD6"/>
    <w:rsid w:val="64365148"/>
    <w:rsid w:val="70E02330"/>
    <w:rsid w:val="78B37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218</Words>
  <Characters>1247</Characters>
  <Lines>10</Lines>
  <Paragraphs>2</Paragraphs>
  <TotalTime>3</TotalTime>
  <ScaleCrop>false</ScaleCrop>
  <LinksUpToDate>false</LinksUpToDate>
  <CharactersWithSpaces>1463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2019-05-31T05:08:00Z</dcterms:created>
  <dc:creator>lpn</dc:creator>
  <cp:lastModifiedBy>lol</cp:lastModifiedBy>
  <cp:lastPrinted>2019-05-29T04:11:00Z</cp:lastPrinted>
  <dcterms:modified xsi:type="dcterms:W3CDTF">2020-06-23T02:01:26Z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