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56" w:line="360" w:lineRule="auto"/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宋体" w:eastAsia="宋体" w:cs="宋体"/>
          <w:sz w:val="32"/>
          <w:szCs w:val="32"/>
          <w:lang w:val="zh-CN"/>
        </w:rPr>
        <w:t>天津工业大学全国统</w:t>
      </w:r>
      <w:bookmarkStart w:id="0" w:name="_GoBack"/>
      <w:bookmarkEnd w:id="0"/>
      <w:r>
        <w:rPr>
          <w:rFonts w:hint="eastAsia" w:ascii="宋体" w:eastAsia="宋体" w:cs="宋体"/>
          <w:sz w:val="32"/>
          <w:szCs w:val="32"/>
          <w:lang w:val="zh-CN"/>
        </w:rPr>
        <w:t>考硕士生入学考试业务课程大纲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color w:val="auto"/>
          <w:sz w:val="24"/>
          <w:szCs w:val="24"/>
          <w:lang w:val="zh-CN"/>
        </w:rPr>
        <w:t>课程编号</w:t>
      </w:r>
      <w:r>
        <w:rPr>
          <w:rFonts w:hint="eastAsia" w:ascii="宋体" w:hAnsi="Times New Roman" w:eastAsia="宋体" w:cs="宋体"/>
          <w:color w:val="auto"/>
          <w:sz w:val="24"/>
          <w:szCs w:val="24"/>
          <w:lang w:val="zh-CN" w:eastAsia="zh-CN"/>
        </w:rPr>
        <w:t>：</w:t>
      </w:r>
      <w:r>
        <w:rPr>
          <w:rFonts w:hint="eastAsia" w:ascii="宋体" w:hAnsi="Times New Roman" w:eastAsia="宋体" w:cs="宋体"/>
          <w:color w:val="auto"/>
          <w:sz w:val="24"/>
          <w:szCs w:val="24"/>
          <w:lang w:val="en-US" w:eastAsia="zh-CN"/>
        </w:rPr>
        <w:t>831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 </w:t>
      </w:r>
      <w:r>
        <w:rPr>
          <w:rFonts w:ascii="宋体" w:hAnsi="Times New Roman" w:eastAsia="宋体" w:cs="宋体"/>
          <w:color w:val="auto"/>
          <w:sz w:val="24"/>
          <w:szCs w:val="24"/>
          <w:lang w:val="zh-CN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               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课程名称：非织造原理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一、考试的总体要求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本考试内容由两部分组成，非织造原理Ⅰ、非织造原理Ⅱ，各占约50%。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非织造原理Ⅰ和非织造原理Ⅱ是非织造材料与工程专业的专业限选课，要求学生掌握短纤维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干法、湿法成网</w:t>
      </w:r>
      <w:r>
        <w:rPr>
          <w:rFonts w:ascii="Times New Roman" w:hAnsi="Times New Roman" w:eastAsia="宋体"/>
          <w:sz w:val="24"/>
          <w:szCs w:val="24"/>
          <w:lang w:val="zh-CN"/>
        </w:rPr>
        <w:t>和聚合物直接成网法的成网及固网工艺流程、常用设备原理、过程参数及工艺计算，能根据产品性能要求进行工艺设计。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二、考试内容及比例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（一）非织造原理Ⅰ内容包括：（约占</w:t>
      </w:r>
      <w:r>
        <w:rPr>
          <w:rFonts w:ascii="Times New Roman" w:hAnsi="Times New Roman" w:eastAsia="宋体"/>
          <w:sz w:val="24"/>
          <w:szCs w:val="24"/>
        </w:rPr>
        <w:t>50%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）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宋体" w:hAnsi="Times New Roman" w:eastAsia="宋体" w:cs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、非织造布的定义、分类及应用。</w:t>
      </w:r>
      <w:r>
        <w:rPr>
          <w:rFonts w:ascii="Times New Roman" w:hAnsi="Times New Roman" w:eastAsia="宋体"/>
          <w:sz w:val="24"/>
          <w:szCs w:val="24"/>
        </w:rPr>
        <w:t>1-3%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　　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、梳理前准备工序的任务及原料选配。</w:t>
      </w:r>
      <w:r>
        <w:rPr>
          <w:rFonts w:ascii="Times New Roman" w:hAnsi="Times New Roman" w:eastAsia="宋体"/>
          <w:sz w:val="24"/>
          <w:szCs w:val="24"/>
        </w:rPr>
        <w:t>3-5%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、梳理原理、成网原理及方法和特点，梳理工艺设计及计算。</w:t>
      </w:r>
      <w:r>
        <w:rPr>
          <w:rFonts w:ascii="Times New Roman" w:hAnsi="Times New Roman" w:eastAsia="宋体"/>
          <w:sz w:val="24"/>
          <w:szCs w:val="24"/>
        </w:rPr>
        <w:t>15-20%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宋体" w:hAnsi="Times New Roman" w:eastAsia="宋体" w:cs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、成网方法及特点，铺网方法、特点及工艺计算。</w:t>
      </w:r>
      <w:r>
        <w:rPr>
          <w:rFonts w:ascii="Times New Roman" w:hAnsi="Times New Roman" w:eastAsia="宋体"/>
          <w:sz w:val="24"/>
          <w:szCs w:val="24"/>
        </w:rPr>
        <w:t>8-10%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宋体" w:hAnsi="Times New Roman" w:eastAsia="宋体" w:cs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、针刺固网原理、针刺机构作用及特点、针刺工艺参数设计、计算及对产品性能的影响。</w:t>
      </w:r>
      <w:r>
        <w:rPr>
          <w:rFonts w:ascii="Times New Roman" w:hAnsi="Times New Roman" w:eastAsia="宋体"/>
          <w:sz w:val="24"/>
          <w:szCs w:val="24"/>
        </w:rPr>
        <w:t>15-20%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宋体" w:hAnsi="Times New Roman" w:eastAsia="宋体" w:cs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6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、水刺固网原理、水刺机构作用及特点、水刺工艺参数设计及对产品性能的影响。</w:t>
      </w:r>
      <w:r>
        <w:rPr>
          <w:rFonts w:ascii="Times New Roman" w:hAnsi="Times New Roman" w:eastAsia="宋体"/>
          <w:sz w:val="24"/>
          <w:szCs w:val="24"/>
        </w:rPr>
        <w:t>10-15%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、热粘合固网原理、热粘合机构作用及特点、热粘合工艺参数设计及对产品性能的影响。</w:t>
      </w:r>
      <w:r>
        <w:rPr>
          <w:rFonts w:ascii="Times New Roman" w:hAnsi="Times New Roman" w:eastAsia="宋体"/>
          <w:sz w:val="24"/>
          <w:szCs w:val="24"/>
        </w:rPr>
        <w:t>8-10%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、化学粘合固网原理、化学粘合机构作用及特点、化学粘合工艺参数设计及对产品性能的影响。</w:t>
      </w:r>
      <w:r>
        <w:rPr>
          <w:rFonts w:ascii="Times New Roman" w:hAnsi="Times New Roman" w:eastAsia="宋体"/>
          <w:sz w:val="24"/>
          <w:szCs w:val="24"/>
        </w:rPr>
        <w:t>4-6%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宋体" w:hAnsi="Times New Roman" w:eastAsia="宋体" w:cs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9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、浆粕气流成网原理、工艺流程、特点及产品应用。</w:t>
      </w:r>
      <w:r>
        <w:rPr>
          <w:rFonts w:ascii="Times New Roman" w:hAnsi="Times New Roman" w:eastAsia="宋体"/>
          <w:sz w:val="24"/>
          <w:szCs w:val="24"/>
        </w:rPr>
        <w:t>4-6%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10</w:t>
      </w:r>
      <w:r>
        <w:rPr>
          <w:rFonts w:hint="eastAsia" w:ascii="Times New Roman" w:hAnsi="Times New Roman" w:eastAsia="宋体"/>
          <w:sz w:val="24"/>
          <w:szCs w:val="24"/>
        </w:rPr>
        <w:t>、湿法成网原理、工艺流程、特点及产品应用。</w:t>
      </w:r>
      <w:r>
        <w:rPr>
          <w:rFonts w:ascii="Times New Roman" w:hAnsi="Times New Roman" w:eastAsia="宋体"/>
          <w:sz w:val="24"/>
          <w:szCs w:val="24"/>
        </w:rPr>
        <w:t>3-5%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（二）非织造原理Ⅱ内容包括：（约占</w:t>
      </w:r>
      <w:r>
        <w:rPr>
          <w:rFonts w:ascii="Times New Roman" w:hAnsi="Times New Roman" w:eastAsia="宋体"/>
          <w:sz w:val="24"/>
          <w:szCs w:val="24"/>
        </w:rPr>
        <w:t>50%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）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宋体" w:hAnsi="Times New Roman" w:eastAsia="宋体" w:cs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、聚合物直接成网法分类、特点及应用。</w:t>
      </w:r>
      <w:r>
        <w:rPr>
          <w:rFonts w:ascii="Times New Roman" w:hAnsi="Times New Roman" w:eastAsia="宋体"/>
          <w:sz w:val="24"/>
          <w:szCs w:val="24"/>
        </w:rPr>
        <w:t>3-5%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　　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、成纤聚合物性能、热机械曲线与成纤性能关系。</w:t>
      </w:r>
      <w:r>
        <w:rPr>
          <w:rFonts w:ascii="Times New Roman" w:hAnsi="Times New Roman" w:eastAsia="宋体"/>
          <w:sz w:val="24"/>
          <w:szCs w:val="24"/>
        </w:rPr>
        <w:t>6-8%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、纺丝流变学概念、切力变稀的原因和流动曲线对纤维生产的意义、流变学工艺计算。</w:t>
      </w:r>
      <w:r>
        <w:rPr>
          <w:rFonts w:ascii="Times New Roman" w:hAnsi="Times New Roman" w:eastAsia="宋体"/>
          <w:sz w:val="24"/>
          <w:szCs w:val="24"/>
        </w:rPr>
        <w:t>5-8%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、熔体挤出细流类型及转变。</w:t>
      </w:r>
      <w:r>
        <w:rPr>
          <w:rFonts w:hint="eastAsia" w:ascii="Times New Roman" w:hAnsi="Times New Roman" w:eastAsia="宋体"/>
          <w:sz w:val="24"/>
          <w:szCs w:val="24"/>
        </w:rPr>
        <w:t>5</w:t>
      </w:r>
      <w:r>
        <w:rPr>
          <w:rFonts w:ascii="Times New Roman" w:hAnsi="Times New Roman" w:eastAsia="宋体"/>
          <w:sz w:val="24"/>
          <w:szCs w:val="24"/>
        </w:rPr>
        <w:t>-8%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ascii="Times New Roman" w:hAnsi="Times New Roman" w:eastAsia="宋体"/>
          <w:sz w:val="24"/>
          <w:szCs w:val="24"/>
          <w:lang w:val="zh-CN"/>
        </w:rPr>
        <w:t>、纺丝流体的可纺性及表征方法、熔体破裂机理。</w:t>
      </w:r>
      <w:r>
        <w:rPr>
          <w:rFonts w:ascii="Times New Roman" w:hAnsi="Times New Roman" w:eastAsia="宋体"/>
          <w:sz w:val="24"/>
          <w:szCs w:val="24"/>
        </w:rPr>
        <w:t>4-6%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6、</w:t>
      </w:r>
      <w:r>
        <w:rPr>
          <w:rFonts w:ascii="Times New Roman" w:hAnsi="Times New Roman" w:eastAsia="宋体"/>
          <w:sz w:val="24"/>
          <w:szCs w:val="24"/>
          <w:lang w:val="zh-CN"/>
        </w:rPr>
        <w:t>纺粘法非织造切片原料及干燥。</w:t>
      </w:r>
      <w:r>
        <w:rPr>
          <w:rFonts w:ascii="Times New Roman" w:hAnsi="Times New Roman" w:eastAsia="宋体"/>
          <w:sz w:val="24"/>
          <w:szCs w:val="24"/>
        </w:rPr>
        <w:t>6-8%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7、纺丝工艺原理、熔融纺丝设备作用及特点。</w:t>
      </w:r>
      <w:r>
        <w:rPr>
          <w:rFonts w:ascii="Times New Roman" w:hAnsi="Times New Roman" w:eastAsia="宋体"/>
          <w:sz w:val="24"/>
          <w:szCs w:val="24"/>
        </w:rPr>
        <w:t>8-10%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8、</w:t>
      </w:r>
      <w:r>
        <w:rPr>
          <w:rFonts w:ascii="Times New Roman" w:hAnsi="Times New Roman" w:eastAsia="宋体"/>
          <w:sz w:val="24"/>
          <w:szCs w:val="24"/>
          <w:lang w:val="zh-CN"/>
        </w:rPr>
        <w:t>冷却牵伸方法及工艺原理、分丝铺网方法及工艺原理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。1</w:t>
      </w:r>
      <w:r>
        <w:rPr>
          <w:rFonts w:ascii="Times New Roman" w:hAnsi="Times New Roman" w:eastAsia="宋体"/>
          <w:sz w:val="24"/>
          <w:szCs w:val="24"/>
          <w:lang w:val="zh-CN"/>
        </w:rPr>
        <w:t>0-12%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9</w:t>
      </w:r>
      <w:r>
        <w:rPr>
          <w:rFonts w:ascii="Times New Roman" w:hAnsi="Times New Roman" w:eastAsia="宋体"/>
          <w:sz w:val="24"/>
          <w:szCs w:val="24"/>
          <w:lang w:val="zh-CN"/>
        </w:rPr>
        <w:t>、纺丝工艺计算。</w:t>
      </w:r>
      <w:r>
        <w:rPr>
          <w:rFonts w:ascii="Times New Roman" w:hAnsi="Times New Roman" w:eastAsia="宋体"/>
          <w:sz w:val="24"/>
          <w:szCs w:val="24"/>
        </w:rPr>
        <w:t>8-10%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0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熔喷</w:t>
      </w:r>
      <w:r>
        <w:rPr>
          <w:rFonts w:ascii="Times New Roman" w:hAnsi="Times New Roman" w:eastAsia="宋体"/>
          <w:sz w:val="24"/>
          <w:szCs w:val="24"/>
          <w:lang w:val="zh-CN"/>
        </w:rPr>
        <w:t>法非织造原料及工艺原理、工艺参数设计及对产品结构与性能的影响。</w:t>
      </w:r>
      <w:r>
        <w:rPr>
          <w:rFonts w:ascii="Times New Roman" w:hAnsi="Times New Roman" w:eastAsia="宋体"/>
          <w:sz w:val="24"/>
          <w:szCs w:val="24"/>
        </w:rPr>
        <w:t>8-12%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11</w:t>
      </w:r>
      <w:r>
        <w:rPr>
          <w:rFonts w:hint="eastAsia" w:ascii="Times New Roman" w:hAnsi="Times New Roman" w:eastAsia="宋体"/>
          <w:sz w:val="24"/>
          <w:szCs w:val="24"/>
        </w:rPr>
        <w:t>、SMS复合技术及其产品特点与应用。</w:t>
      </w:r>
      <w:r>
        <w:rPr>
          <w:rFonts w:ascii="Times New Roman" w:hAnsi="Times New Roman" w:eastAsia="宋体"/>
          <w:sz w:val="24"/>
          <w:szCs w:val="24"/>
        </w:rPr>
        <w:t>6-8%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闪蒸法、膜裂法和静电纺丝工艺原理及产品特点和应用。4-5%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三、试卷的类型及比例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、简答题：本题</w:t>
      </w:r>
      <w:r>
        <w:rPr>
          <w:rFonts w:ascii="Times New Roman" w:hAnsi="Times New Roman" w:eastAsia="宋体"/>
          <w:sz w:val="24"/>
          <w:szCs w:val="24"/>
        </w:rPr>
        <w:t>10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个小题，每小题</w:t>
      </w:r>
      <w:r>
        <w:rPr>
          <w:rFonts w:ascii="Times New Roman" w:hAnsi="Times New Roman" w:eastAsia="宋体"/>
          <w:sz w:val="24"/>
          <w:szCs w:val="24"/>
        </w:rPr>
        <w:t>6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分，共</w:t>
      </w:r>
      <w:r>
        <w:rPr>
          <w:rFonts w:ascii="Times New Roman" w:hAnsi="Times New Roman" w:eastAsia="宋体"/>
          <w:sz w:val="24"/>
          <w:szCs w:val="24"/>
        </w:rPr>
        <w:t>60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分，占</w:t>
      </w:r>
      <w:r>
        <w:rPr>
          <w:rFonts w:ascii="Times New Roman" w:hAnsi="Times New Roman" w:eastAsia="宋体"/>
          <w:sz w:val="24"/>
          <w:szCs w:val="24"/>
        </w:rPr>
        <w:t>40%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、计算题：本题</w:t>
      </w: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个小题，每小题</w:t>
      </w:r>
      <w:r>
        <w:rPr>
          <w:rFonts w:ascii="Times New Roman" w:hAnsi="Times New Roman" w:eastAsia="宋体"/>
          <w:sz w:val="24"/>
          <w:szCs w:val="24"/>
        </w:rPr>
        <w:t>10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分，共</w:t>
      </w:r>
      <w:r>
        <w:rPr>
          <w:rFonts w:ascii="Times New Roman" w:hAnsi="Times New Roman" w:eastAsia="宋体"/>
          <w:sz w:val="24"/>
          <w:szCs w:val="24"/>
        </w:rPr>
        <w:t>30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分，占</w:t>
      </w:r>
      <w:r>
        <w:rPr>
          <w:rFonts w:ascii="Times New Roman" w:hAnsi="Times New Roman" w:eastAsia="宋体"/>
          <w:sz w:val="24"/>
          <w:szCs w:val="24"/>
        </w:rPr>
        <w:t>20%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、综合题：本题</w:t>
      </w: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个小题，每小题</w:t>
      </w:r>
      <w:r>
        <w:rPr>
          <w:rFonts w:ascii="Times New Roman" w:hAnsi="Times New Roman" w:eastAsia="宋体"/>
          <w:sz w:val="24"/>
          <w:szCs w:val="24"/>
        </w:rPr>
        <w:t>15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分，共</w:t>
      </w:r>
      <w:r>
        <w:rPr>
          <w:rFonts w:ascii="Times New Roman" w:hAnsi="Times New Roman" w:eastAsia="宋体"/>
          <w:sz w:val="24"/>
          <w:szCs w:val="24"/>
        </w:rPr>
        <w:t>60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分，占</w:t>
      </w:r>
      <w:r>
        <w:rPr>
          <w:rFonts w:ascii="Times New Roman" w:hAnsi="Times New Roman" w:eastAsia="宋体"/>
          <w:sz w:val="24"/>
          <w:szCs w:val="24"/>
        </w:rPr>
        <w:t>40%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四、考试形式及时间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考试形式为笔试，考试时间为三小时，满分</w:t>
      </w:r>
      <w:r>
        <w:rPr>
          <w:rFonts w:ascii="Times New Roman" w:hAnsi="Times New Roman" w:eastAsia="宋体"/>
          <w:sz w:val="24"/>
          <w:szCs w:val="24"/>
        </w:rPr>
        <w:t>150</w:t>
      </w:r>
      <w:r>
        <w:rPr>
          <w:rFonts w:hint="eastAsia" w:ascii="宋体" w:hAnsi="Times New Roman" w:eastAsia="宋体" w:cs="宋体"/>
          <w:sz w:val="24"/>
          <w:szCs w:val="24"/>
          <w:lang w:val="zh-CN"/>
        </w:rPr>
        <w:t>分。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  <w:lang w:val="zh-CN"/>
        </w:rPr>
        <w:t>五、主要参考教材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《非织造材料与工程学》，郭秉臣主编，中国纺织出版社，2010年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40"/>
      </w:pPr>
      <w:r>
        <w:rPr>
          <w:rFonts w:ascii="Times New Roman" w:hAnsi="Times New Roman" w:eastAsia="宋体"/>
          <w:sz w:val="24"/>
          <w:szCs w:val="24"/>
          <w:lang w:val="zh-CN"/>
        </w:rPr>
        <w:t>《纺粘法非织造布》，郭合信主编，中国纺织出版社，2003年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73"/>
    <w:rsid w:val="00071C89"/>
    <w:rsid w:val="002A7EE1"/>
    <w:rsid w:val="003200F2"/>
    <w:rsid w:val="00551031"/>
    <w:rsid w:val="007F0F4D"/>
    <w:rsid w:val="00884571"/>
    <w:rsid w:val="00954398"/>
    <w:rsid w:val="00AE54E5"/>
    <w:rsid w:val="00D93D33"/>
    <w:rsid w:val="00E12C73"/>
    <w:rsid w:val="00EA1136"/>
    <w:rsid w:val="00F932D1"/>
    <w:rsid w:val="00FF77E5"/>
    <w:rsid w:val="5CA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987</Characters>
  <Lines>8</Lines>
  <Paragraphs>2</Paragraphs>
  <TotalTime>91</TotalTime>
  <ScaleCrop>false</ScaleCrop>
  <LinksUpToDate>false</LinksUpToDate>
  <CharactersWithSpaces>1158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2020-07-17T00:53:00Z</dcterms:created>
  <dc:creator>lenovn</dc:creator>
  <cp:lastModifiedBy>陈斌</cp:lastModifiedBy>
  <dcterms:modified xsi:type="dcterms:W3CDTF">2020-07-21T08:26:23Z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