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rPr>
          <w:rFonts w:hint="eastAsia"/>
          <w:lang w:eastAsia="zh-CN"/>
        </w:rPr>
        <w:t>互换性与测量技术</w:t>
      </w:r>
    </w:p>
    <w:p>
      <w:pPr>
        <w:pStyle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参考书目：</w:t>
      </w:r>
    </w:p>
    <w:p>
      <w:pPr>
        <w:ind w:firstLine="420"/>
        <w:rPr>
          <w:rFonts w:hint="eastAsia" w:ascii="宋体" w:hAnsi="宋体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《机械精度设计与质量保证》孙全颖等主编 哈尔滨工业大学出版社 2014 第3版</w:t>
      </w:r>
    </w:p>
    <w:p>
      <w:pPr>
        <w:pStyle w:val="3"/>
      </w:pPr>
      <w:r>
        <w:rPr>
          <w:rFonts w:hint="eastAsia"/>
          <w:lang w:eastAsia="zh-CN"/>
        </w:rPr>
        <w:t>一、</w:t>
      </w:r>
      <w:r>
        <w:rPr>
          <w:rFonts w:hint="eastAsia"/>
        </w:rPr>
        <w:t>考试目的与要求</w:t>
      </w:r>
    </w:p>
    <w:p>
      <w:pPr>
        <w:pStyle w:val="7"/>
        <w:ind w:left="42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测试考生对机械精度设计涉及相关国家标准的应用的能力。考生应掌握尺寸精度设计、几何精度设计和表面精度设计的术语、定义、符号以及在图面上的标注方法。考生应掌握典型零件（滚动轴承、平键、花键、螺纹、齿轮）精度设计的内容。</w:t>
      </w:r>
    </w:p>
    <w:p>
      <w:pPr>
        <w:pStyle w:val="3"/>
      </w:pPr>
      <w:r>
        <w:rPr>
          <w:rFonts w:hint="eastAsia"/>
          <w:lang w:eastAsia="zh-CN"/>
        </w:rPr>
        <w:t>二、</w:t>
      </w:r>
      <w:r>
        <w:rPr>
          <w:rFonts w:hint="eastAsia"/>
        </w:rPr>
        <w:t>试卷结构（满分</w:t>
      </w:r>
      <w:r>
        <w:t>35</w:t>
      </w:r>
      <w:r>
        <w:rPr>
          <w:rFonts w:hint="eastAsia"/>
        </w:rPr>
        <w:t>分）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18"/>
          <w:szCs w:val="18"/>
        </w:rPr>
      </w:pPr>
      <w:r>
        <w:rPr>
          <w:rFonts w:ascii="宋体" w:hAnsi="Calibri" w:eastAsia="宋体" w:cs="宋体"/>
          <w:kern w:val="0"/>
          <w:sz w:val="18"/>
          <w:szCs w:val="18"/>
        </w:rPr>
        <w:t xml:space="preserve">     </w:t>
      </w:r>
      <w:r>
        <w:rPr>
          <w:rFonts w:hint="eastAsia" w:ascii="宋体" w:hAnsi="Calibri" w:eastAsia="宋体" w:cs="宋体"/>
          <w:kern w:val="0"/>
          <w:sz w:val="18"/>
          <w:szCs w:val="18"/>
        </w:rPr>
        <w:t>题型比例：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     1</w:t>
      </w:r>
      <w:r>
        <w:rPr>
          <w:rFonts w:hint="eastAsia" w:ascii="宋体" w:hAnsi="Calibri" w:eastAsia="宋体" w:cs="宋体"/>
          <w:kern w:val="0"/>
          <w:sz w:val="18"/>
          <w:szCs w:val="18"/>
        </w:rPr>
        <w:t>．选择题</w:t>
      </w:r>
      <w:r>
        <w:rPr>
          <w:rFonts w:ascii="宋体" w:hAnsi="Calibri" w:eastAsia="宋体" w:cs="宋体"/>
          <w:kern w:val="0"/>
          <w:sz w:val="18"/>
          <w:szCs w:val="18"/>
        </w:rPr>
        <w:t xml:space="preserve">       </w:t>
      </w:r>
      <w:r>
        <w:rPr>
          <w:rFonts w:hint="eastAsia" w:ascii="宋体" w:hAnsi="Calibri" w:eastAsia="宋体" w:cs="宋体"/>
          <w:kern w:val="0"/>
          <w:sz w:val="18"/>
          <w:szCs w:val="18"/>
        </w:rPr>
        <w:t>约</w:t>
      </w:r>
      <w:r>
        <w:rPr>
          <w:rFonts w:ascii="宋体" w:hAnsi="Calibri" w:eastAsia="宋体" w:cs="宋体"/>
          <w:kern w:val="0"/>
          <w:sz w:val="18"/>
          <w:szCs w:val="18"/>
        </w:rPr>
        <w:t>10</w:t>
      </w:r>
      <w:r>
        <w:rPr>
          <w:rFonts w:hint="eastAsia" w:ascii="宋体" w:hAnsi="Calibri" w:eastAsia="宋体" w:cs="宋体"/>
          <w:kern w:val="0"/>
          <w:sz w:val="18"/>
          <w:szCs w:val="18"/>
        </w:rPr>
        <w:t>分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     2</w:t>
      </w:r>
      <w:r>
        <w:rPr>
          <w:rFonts w:hint="eastAsia" w:ascii="宋体" w:hAnsi="Calibri" w:eastAsia="宋体" w:cs="宋体"/>
          <w:kern w:val="0"/>
          <w:sz w:val="18"/>
          <w:szCs w:val="18"/>
        </w:rPr>
        <w:t>．填空题</w:t>
      </w:r>
      <w:r>
        <w:rPr>
          <w:rFonts w:ascii="宋体" w:hAnsi="Calibri" w:eastAsia="宋体" w:cs="宋体"/>
          <w:kern w:val="0"/>
          <w:sz w:val="18"/>
          <w:szCs w:val="18"/>
        </w:rPr>
        <w:t xml:space="preserve">       </w:t>
      </w:r>
      <w:r>
        <w:rPr>
          <w:rFonts w:hint="eastAsia" w:ascii="宋体" w:hAnsi="Calibri" w:eastAsia="宋体" w:cs="宋体"/>
          <w:kern w:val="0"/>
          <w:sz w:val="18"/>
          <w:szCs w:val="18"/>
        </w:rPr>
        <w:t>约</w:t>
      </w:r>
      <w:r>
        <w:rPr>
          <w:rFonts w:ascii="宋体" w:hAnsi="Calibri" w:eastAsia="宋体" w:cs="宋体"/>
          <w:kern w:val="0"/>
          <w:sz w:val="18"/>
          <w:szCs w:val="18"/>
        </w:rPr>
        <w:t>5</w:t>
      </w:r>
      <w:r>
        <w:rPr>
          <w:rFonts w:hint="eastAsia" w:ascii="宋体" w:hAnsi="Calibri" w:eastAsia="宋体" w:cs="宋体"/>
          <w:kern w:val="0"/>
          <w:sz w:val="18"/>
          <w:szCs w:val="18"/>
        </w:rPr>
        <w:t>分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kern w:val="0"/>
          <w:sz w:val="18"/>
          <w:szCs w:val="18"/>
        </w:rPr>
        <w:t xml:space="preserve">     3</w:t>
      </w:r>
      <w:r>
        <w:rPr>
          <w:rFonts w:hint="eastAsia" w:ascii="宋体" w:hAnsi="Calibri" w:eastAsia="宋体" w:cs="宋体"/>
          <w:kern w:val="0"/>
          <w:sz w:val="18"/>
          <w:szCs w:val="18"/>
        </w:rPr>
        <w:t>．标注题</w:t>
      </w:r>
      <w:r>
        <w:rPr>
          <w:rFonts w:ascii="宋体" w:hAnsi="Calibri" w:eastAsia="宋体" w:cs="宋体"/>
          <w:kern w:val="0"/>
          <w:sz w:val="18"/>
          <w:szCs w:val="18"/>
        </w:rPr>
        <w:t xml:space="preserve">       </w:t>
      </w:r>
      <w:r>
        <w:rPr>
          <w:rFonts w:hint="eastAsia" w:ascii="宋体" w:hAnsi="Calibri" w:eastAsia="宋体" w:cs="宋体"/>
          <w:kern w:val="0"/>
          <w:sz w:val="18"/>
          <w:szCs w:val="18"/>
        </w:rPr>
        <w:t>约</w:t>
      </w:r>
      <w:r>
        <w:rPr>
          <w:rFonts w:ascii="宋体" w:hAnsi="Calibri" w:eastAsia="宋体" w:cs="宋体"/>
          <w:kern w:val="0"/>
          <w:sz w:val="18"/>
          <w:szCs w:val="18"/>
        </w:rPr>
        <w:t>10</w:t>
      </w:r>
      <w:r>
        <w:rPr>
          <w:rFonts w:hint="eastAsia" w:ascii="宋体" w:hAnsi="Calibri" w:eastAsia="宋体" w:cs="宋体"/>
          <w:kern w:val="0"/>
          <w:sz w:val="18"/>
          <w:szCs w:val="18"/>
        </w:rPr>
        <w:t>分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18"/>
          <w:szCs w:val="18"/>
        </w:rPr>
      </w:pPr>
      <w:r>
        <w:rPr>
          <w:rFonts w:ascii="宋体" w:hAnsi="宋体" w:eastAsia="宋体" w:cs="宋体"/>
          <w:kern w:val="0"/>
          <w:sz w:val="18"/>
          <w:szCs w:val="18"/>
        </w:rPr>
        <w:t xml:space="preserve">     4</w:t>
      </w:r>
      <w:r>
        <w:rPr>
          <w:rFonts w:hint="eastAsia" w:ascii="宋体" w:hAnsi="宋体" w:eastAsia="宋体" w:cs="宋体"/>
          <w:kern w:val="0"/>
          <w:sz w:val="18"/>
          <w:szCs w:val="18"/>
        </w:rPr>
        <w:t>．分析论述题</w:t>
      </w:r>
      <w:r>
        <w:rPr>
          <w:rFonts w:ascii="Calibri" w:hAnsi="Calibri" w:eastAsia="宋体" w:cs="宋体"/>
          <w:kern w:val="0"/>
          <w:sz w:val="18"/>
          <w:szCs w:val="18"/>
        </w:rPr>
        <w:t xml:space="preserve">   </w:t>
      </w:r>
      <w:r>
        <w:rPr>
          <w:rFonts w:hint="eastAsia" w:ascii="宋体" w:hAnsi="Calibri" w:eastAsia="宋体" w:cs="宋体"/>
          <w:kern w:val="0"/>
          <w:sz w:val="18"/>
          <w:szCs w:val="18"/>
        </w:rPr>
        <w:t>约</w:t>
      </w:r>
      <w:r>
        <w:rPr>
          <w:rFonts w:ascii="宋体" w:hAnsi="Calibri" w:eastAsia="宋体" w:cs="宋体"/>
          <w:kern w:val="0"/>
          <w:sz w:val="18"/>
          <w:szCs w:val="18"/>
        </w:rPr>
        <w:t>10</w:t>
      </w:r>
      <w:r>
        <w:rPr>
          <w:rFonts w:hint="eastAsia" w:ascii="宋体" w:hAnsi="Calibri" w:eastAsia="宋体" w:cs="宋体"/>
          <w:kern w:val="0"/>
          <w:sz w:val="18"/>
          <w:szCs w:val="18"/>
        </w:rPr>
        <w:t>分</w:t>
      </w:r>
    </w:p>
    <w:p>
      <w:pPr>
        <w:pStyle w:val="3"/>
      </w:pPr>
      <w:r>
        <w:rPr>
          <w:rFonts w:hint="eastAsia"/>
          <w:lang w:eastAsia="zh-CN"/>
        </w:rPr>
        <w:t>三、</w:t>
      </w:r>
      <w:r>
        <w:rPr>
          <w:rFonts w:hint="eastAsia"/>
        </w:rPr>
        <w:t>考试内容与要求</w:t>
      </w:r>
    </w:p>
    <w:p>
      <w:pPr>
        <w:pStyle w:val="8"/>
        <w:ind w:firstLine="361" w:firstLineChars="200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（一）尺寸精度设计</w:t>
      </w:r>
    </w:p>
    <w:p>
      <w:pPr>
        <w:pStyle w:val="8"/>
        <w:ind w:firstLine="360" w:firstLineChars="200"/>
        <w:rPr>
          <w:rFonts w:hAnsi="宋体"/>
          <w:sz w:val="18"/>
          <w:szCs w:val="18"/>
        </w:rPr>
      </w:pPr>
      <w:r>
        <w:rPr>
          <w:rFonts w:hAnsi="宋体" w:cs="宋体"/>
          <w:kern w:val="0"/>
          <w:sz w:val="18"/>
          <w:szCs w:val="18"/>
        </w:rPr>
        <w:t xml:space="preserve"> </w:t>
      </w:r>
      <w:r>
        <w:rPr>
          <w:rFonts w:hint="eastAsia" w:hAnsi="宋体" w:cs="宋体"/>
          <w:kern w:val="0"/>
          <w:sz w:val="18"/>
          <w:szCs w:val="18"/>
        </w:rPr>
        <w:t>考试内容</w:t>
      </w:r>
      <w:r>
        <w:rPr>
          <w:rFonts w:hAnsi="宋体" w:cs="宋体"/>
          <w:kern w:val="0"/>
          <w:sz w:val="18"/>
          <w:szCs w:val="18"/>
        </w:rPr>
        <w:t xml:space="preserve">     GB/T1800.1—2009</w:t>
      </w:r>
      <w:r>
        <w:rPr>
          <w:rFonts w:hint="eastAsia" w:hAnsi="宋体"/>
          <w:sz w:val="18"/>
          <w:szCs w:val="18"/>
        </w:rPr>
        <w:t>《产品几何技术规范（</w:t>
      </w:r>
      <w:r>
        <w:rPr>
          <w:rFonts w:hAnsi="宋体"/>
          <w:sz w:val="18"/>
          <w:szCs w:val="18"/>
        </w:rPr>
        <w:t>GPS</w:t>
      </w:r>
      <w:r>
        <w:rPr>
          <w:rFonts w:hint="eastAsia" w:hAnsi="宋体"/>
          <w:sz w:val="18"/>
          <w:szCs w:val="18"/>
        </w:rPr>
        <w:t>）</w:t>
      </w:r>
      <w:r>
        <w:rPr>
          <w:rFonts w:hAnsi="宋体"/>
          <w:sz w:val="18"/>
          <w:szCs w:val="18"/>
        </w:rPr>
        <w:t xml:space="preserve"> </w:t>
      </w:r>
      <w:r>
        <w:rPr>
          <w:rFonts w:hint="eastAsia" w:hAnsi="宋体"/>
          <w:sz w:val="18"/>
          <w:szCs w:val="18"/>
        </w:rPr>
        <w:t>极限与配合</w:t>
      </w:r>
      <w:r>
        <w:rPr>
          <w:rFonts w:hAnsi="宋体"/>
          <w:sz w:val="18"/>
          <w:szCs w:val="18"/>
        </w:rPr>
        <w:t xml:space="preserve"> </w:t>
      </w:r>
      <w:r>
        <w:rPr>
          <w:rFonts w:hint="eastAsia" w:hAnsi="宋体"/>
          <w:sz w:val="18"/>
          <w:szCs w:val="18"/>
        </w:rPr>
        <w:t>第一部分</w:t>
      </w:r>
      <w:r>
        <w:rPr>
          <w:rFonts w:hAnsi="宋体"/>
          <w:sz w:val="18"/>
          <w:szCs w:val="18"/>
        </w:rPr>
        <w:t xml:space="preserve"> </w:t>
      </w:r>
      <w:r>
        <w:rPr>
          <w:rFonts w:hint="eastAsia" w:hAnsi="宋体" w:cs="宋体"/>
          <w:kern w:val="0"/>
          <w:sz w:val="18"/>
          <w:szCs w:val="18"/>
        </w:rPr>
        <w:t>公差、偏差和配合》国家标准；标准公差系列；基本偏差系列；尺寸精度设计的基本原则；配合制、配合种类。</w:t>
      </w:r>
    </w:p>
    <w:p>
      <w:pPr>
        <w:ind w:left="420" w:leftChars="200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考试要求</w:t>
      </w:r>
    </w:p>
    <w:p>
      <w:pPr>
        <w:ind w:left="420" w:leftChars="200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 xml:space="preserve"> 1. </w:t>
      </w:r>
      <w:r>
        <w:rPr>
          <w:rFonts w:hint="eastAsia" w:ascii="宋体" w:hAnsi="宋体" w:eastAsia="宋体" w:cs="Arial"/>
          <w:sz w:val="18"/>
          <w:szCs w:val="18"/>
        </w:rPr>
        <w:t>掌握尺寸精度设计的术语和定义：孔和轴、尺寸、偏差、公差、公差带、基孔制、基轴制、间隙配合、过盈配合、过渡配合等</w:t>
      </w:r>
      <w:r>
        <w:rPr>
          <w:rFonts w:hint="eastAsia" w:ascii="宋体" w:hAnsi="宋体" w:eastAsia="宋体" w:cs="Times New Roman"/>
          <w:sz w:val="18"/>
          <w:szCs w:val="18"/>
        </w:rPr>
        <w:t>。</w:t>
      </w:r>
    </w:p>
    <w:p>
      <w:pPr>
        <w:ind w:firstLine="540" w:firstLineChars="300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 xml:space="preserve">2. </w:t>
      </w:r>
      <w:r>
        <w:rPr>
          <w:rFonts w:hint="eastAsia" w:ascii="宋体" w:hAnsi="宋体" w:eastAsia="宋体" w:cs="Times New Roman"/>
          <w:sz w:val="18"/>
          <w:szCs w:val="18"/>
        </w:rPr>
        <w:t>了解标准公差系列、基本偏差系列的来源。</w:t>
      </w:r>
    </w:p>
    <w:p>
      <w:pPr>
        <w:ind w:left="540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 xml:space="preserve">3. </w:t>
      </w:r>
      <w:r>
        <w:rPr>
          <w:rFonts w:hint="eastAsia" w:ascii="宋体" w:hAnsi="宋体" w:eastAsia="宋体" w:cs="Times New Roman"/>
          <w:sz w:val="18"/>
          <w:szCs w:val="18"/>
        </w:rPr>
        <w:t>掌握配合制、精度等级和配合种类的选用原则。</w:t>
      </w:r>
    </w:p>
    <w:p>
      <w:pPr>
        <w:ind w:left="540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 xml:space="preserve">4. </w:t>
      </w:r>
      <w:r>
        <w:rPr>
          <w:rFonts w:hint="eastAsia" w:ascii="宋体" w:hAnsi="宋体" w:eastAsia="宋体" w:cs="Times New Roman"/>
          <w:sz w:val="18"/>
          <w:szCs w:val="18"/>
        </w:rPr>
        <w:t>熟练掌握极限尺寸、极限偏差、公差的计算。</w:t>
      </w:r>
    </w:p>
    <w:p>
      <w:pPr>
        <w:pStyle w:val="8"/>
        <w:rPr>
          <w:rFonts w:hAnsi="宋体"/>
          <w:b/>
          <w:sz w:val="18"/>
          <w:szCs w:val="18"/>
        </w:rPr>
      </w:pPr>
      <w:r>
        <w:rPr>
          <w:rFonts w:hAnsi="宋体"/>
          <w:b/>
          <w:sz w:val="18"/>
          <w:szCs w:val="18"/>
        </w:rPr>
        <w:t xml:space="preserve">   </w:t>
      </w:r>
      <w:r>
        <w:rPr>
          <w:rFonts w:hint="eastAsia" w:hAnsi="宋体"/>
          <w:b/>
          <w:sz w:val="18"/>
          <w:szCs w:val="18"/>
        </w:rPr>
        <w:t>（二）几何精度设计</w:t>
      </w:r>
    </w:p>
    <w:p>
      <w:pPr>
        <w:ind w:firstLine="360" w:firstLineChars="200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考试内容</w:t>
      </w:r>
    </w:p>
    <w:p>
      <w:pPr>
        <w:pStyle w:val="8"/>
        <w:ind w:firstLine="435"/>
        <w:rPr>
          <w:rFonts w:hAnsi="宋体"/>
          <w:sz w:val="18"/>
          <w:szCs w:val="18"/>
        </w:rPr>
      </w:pPr>
      <w:r>
        <w:rPr>
          <w:rFonts w:hAnsi="宋体"/>
          <w:sz w:val="18"/>
          <w:szCs w:val="18"/>
        </w:rPr>
        <w:t xml:space="preserve">GB/T 18780.1-2002 </w:t>
      </w:r>
      <w:r>
        <w:rPr>
          <w:rFonts w:hint="eastAsia" w:hAnsi="宋体"/>
          <w:sz w:val="18"/>
          <w:szCs w:val="18"/>
        </w:rPr>
        <w:t>产品几何量技术规范</w:t>
      </w:r>
      <w:r>
        <w:rPr>
          <w:rFonts w:hAnsi="宋体"/>
          <w:sz w:val="18"/>
          <w:szCs w:val="18"/>
        </w:rPr>
        <w:t xml:space="preserve">(GPS) </w:t>
      </w:r>
      <w:r>
        <w:rPr>
          <w:rFonts w:hint="eastAsia" w:hAnsi="宋体"/>
          <w:sz w:val="18"/>
          <w:szCs w:val="18"/>
        </w:rPr>
        <w:t>几何要素</w:t>
      </w:r>
      <w:r>
        <w:rPr>
          <w:rFonts w:hAnsi="宋体"/>
          <w:sz w:val="18"/>
          <w:szCs w:val="18"/>
        </w:rPr>
        <w:t xml:space="preserve"> </w:t>
      </w:r>
      <w:r>
        <w:rPr>
          <w:rFonts w:hint="eastAsia" w:hAnsi="宋体"/>
          <w:sz w:val="18"/>
          <w:szCs w:val="18"/>
        </w:rPr>
        <w:t>第</w:t>
      </w:r>
      <w:r>
        <w:rPr>
          <w:rFonts w:hAnsi="宋体"/>
          <w:sz w:val="18"/>
          <w:szCs w:val="18"/>
        </w:rPr>
        <w:t>1</w:t>
      </w:r>
      <w:r>
        <w:rPr>
          <w:rFonts w:hint="eastAsia" w:hAnsi="宋体"/>
          <w:sz w:val="18"/>
          <w:szCs w:val="18"/>
        </w:rPr>
        <w:t>部分</w:t>
      </w:r>
      <w:r>
        <w:rPr>
          <w:rFonts w:hAnsi="宋体"/>
          <w:sz w:val="18"/>
          <w:szCs w:val="18"/>
        </w:rPr>
        <w:t xml:space="preserve"> </w:t>
      </w:r>
      <w:r>
        <w:rPr>
          <w:rFonts w:hint="eastAsia" w:hAnsi="宋体"/>
          <w:sz w:val="18"/>
          <w:szCs w:val="18"/>
        </w:rPr>
        <w:t>基本术语和定义；</w:t>
      </w:r>
      <w:r>
        <w:rPr>
          <w:rFonts w:hAnsi="宋体"/>
          <w:sz w:val="18"/>
          <w:szCs w:val="18"/>
        </w:rPr>
        <w:t xml:space="preserve">GB/T1182-2008 </w:t>
      </w:r>
      <w:r>
        <w:rPr>
          <w:rFonts w:hint="eastAsia" w:hAnsi="宋体"/>
          <w:sz w:val="18"/>
          <w:szCs w:val="18"/>
        </w:rPr>
        <w:t>产品几何技术规范</w:t>
      </w:r>
      <w:r>
        <w:rPr>
          <w:rFonts w:hAnsi="宋体"/>
          <w:sz w:val="18"/>
          <w:szCs w:val="18"/>
        </w:rPr>
        <w:t xml:space="preserve"> </w:t>
      </w:r>
      <w:r>
        <w:rPr>
          <w:rFonts w:hint="eastAsia" w:hAnsi="宋体"/>
          <w:sz w:val="18"/>
          <w:szCs w:val="18"/>
        </w:rPr>
        <w:t>几何公差形状、方向、位置和跳动公差标注。</w:t>
      </w:r>
    </w:p>
    <w:p>
      <w:pPr>
        <w:pStyle w:val="8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ind w:left="315" w:firstLine="105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 xml:space="preserve">1. </w:t>
      </w:r>
      <w:r>
        <w:rPr>
          <w:rFonts w:hint="eastAsia" w:ascii="宋体" w:hAnsi="宋体" w:eastAsia="宋体" w:cs="Times New Roman"/>
          <w:sz w:val="18"/>
          <w:szCs w:val="18"/>
        </w:rPr>
        <w:t>掌握几何要素的基本术语和定义。</w:t>
      </w:r>
    </w:p>
    <w:p>
      <w:pPr>
        <w:ind w:left="315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Calibri" w:eastAsia="宋体" w:cs="Times New Roman"/>
          <w:sz w:val="18"/>
          <w:szCs w:val="18"/>
        </w:rPr>
        <w:tab/>
      </w:r>
      <w:r>
        <w:rPr>
          <w:rFonts w:ascii="宋体" w:hAnsi="宋体" w:eastAsia="宋体" w:cs="Times New Roman"/>
          <w:sz w:val="18"/>
          <w:szCs w:val="18"/>
        </w:rPr>
        <w:t xml:space="preserve">2. </w:t>
      </w:r>
      <w:r>
        <w:rPr>
          <w:rFonts w:hint="eastAsia" w:ascii="宋体" w:hAnsi="宋体" w:eastAsia="宋体" w:cs="Times New Roman"/>
          <w:sz w:val="18"/>
          <w:szCs w:val="18"/>
        </w:rPr>
        <w:t>熟练掌握几何公差的</w:t>
      </w:r>
      <w:r>
        <w:rPr>
          <w:rFonts w:ascii="宋体" w:hAnsi="宋体" w:eastAsia="宋体" w:cs="Times New Roman"/>
          <w:sz w:val="18"/>
          <w:szCs w:val="18"/>
        </w:rPr>
        <w:t>14</w:t>
      </w:r>
      <w:r>
        <w:rPr>
          <w:rFonts w:hint="eastAsia" w:ascii="宋体" w:hAnsi="宋体" w:eastAsia="宋体" w:cs="Times New Roman"/>
          <w:sz w:val="18"/>
          <w:szCs w:val="18"/>
        </w:rPr>
        <w:t>个特征项目的名称、符号。</w:t>
      </w:r>
    </w:p>
    <w:p>
      <w:pPr>
        <w:ind w:left="315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Calibri" w:eastAsia="宋体" w:cs="Times New Roman"/>
          <w:sz w:val="18"/>
          <w:szCs w:val="18"/>
        </w:rPr>
        <w:tab/>
      </w:r>
      <w:r>
        <w:rPr>
          <w:rFonts w:ascii="宋体" w:hAnsi="宋体" w:eastAsia="宋体" w:cs="Times New Roman"/>
          <w:sz w:val="18"/>
          <w:szCs w:val="18"/>
        </w:rPr>
        <w:t xml:space="preserve">3. </w:t>
      </w:r>
      <w:r>
        <w:rPr>
          <w:rFonts w:hint="eastAsia" w:ascii="宋体" w:hAnsi="宋体" w:eastAsia="宋体" w:cs="Times New Roman"/>
          <w:sz w:val="18"/>
          <w:szCs w:val="18"/>
        </w:rPr>
        <w:t>掌握几何公差带的特征。</w:t>
      </w:r>
    </w:p>
    <w:p>
      <w:pPr>
        <w:ind w:left="315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Calibri" w:eastAsia="宋体" w:cs="Times New Roman"/>
          <w:sz w:val="18"/>
          <w:szCs w:val="18"/>
        </w:rPr>
        <w:tab/>
      </w:r>
      <w:r>
        <w:rPr>
          <w:rFonts w:ascii="宋体" w:hAnsi="宋体" w:eastAsia="宋体" w:cs="Times New Roman"/>
          <w:sz w:val="18"/>
          <w:szCs w:val="18"/>
        </w:rPr>
        <w:t xml:space="preserve">4. </w:t>
      </w:r>
      <w:r>
        <w:rPr>
          <w:rFonts w:hint="eastAsia" w:ascii="宋体" w:hAnsi="宋体" w:eastAsia="宋体" w:cs="Times New Roman"/>
          <w:sz w:val="18"/>
          <w:szCs w:val="18"/>
        </w:rPr>
        <w:t>掌握结构图与信号流图的关系。</w:t>
      </w:r>
    </w:p>
    <w:p>
      <w:pPr>
        <w:pStyle w:val="8"/>
        <w:rPr>
          <w:rFonts w:hAnsi="宋体"/>
          <w:sz w:val="18"/>
          <w:szCs w:val="18"/>
        </w:rPr>
      </w:pPr>
      <w:r>
        <w:rPr>
          <w:rFonts w:hAnsi="宋体"/>
          <w:sz w:val="18"/>
          <w:szCs w:val="18"/>
        </w:rPr>
        <w:tab/>
      </w:r>
      <w:r>
        <w:rPr>
          <w:rFonts w:hAnsi="宋体"/>
          <w:sz w:val="18"/>
          <w:szCs w:val="18"/>
        </w:rPr>
        <w:t xml:space="preserve">5. </w:t>
      </w:r>
      <w:r>
        <w:rPr>
          <w:rFonts w:hint="eastAsia" w:hAnsi="宋体"/>
          <w:sz w:val="18"/>
          <w:szCs w:val="18"/>
        </w:rPr>
        <w:t>熟练掌握几何公差的标注。</w:t>
      </w:r>
    </w:p>
    <w:p>
      <w:pPr>
        <w:pStyle w:val="8"/>
        <w:rPr>
          <w:rFonts w:hAnsi="宋体"/>
          <w:b/>
          <w:sz w:val="18"/>
          <w:szCs w:val="18"/>
        </w:rPr>
      </w:pPr>
      <w:r>
        <w:rPr>
          <w:rFonts w:hAnsi="宋体"/>
          <w:b/>
          <w:sz w:val="18"/>
          <w:szCs w:val="18"/>
        </w:rPr>
        <w:t xml:space="preserve">   </w:t>
      </w:r>
      <w:r>
        <w:rPr>
          <w:rFonts w:hint="eastAsia" w:hAnsi="宋体"/>
          <w:b/>
          <w:sz w:val="18"/>
          <w:szCs w:val="18"/>
        </w:rPr>
        <w:t>（三）表面精度设计</w:t>
      </w:r>
    </w:p>
    <w:p>
      <w:pPr>
        <w:ind w:left="420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考试内容</w:t>
      </w:r>
    </w:p>
    <w:p>
      <w:pPr>
        <w:ind w:firstLine="420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 xml:space="preserve">GBT 1031-2009 </w:t>
      </w:r>
      <w:r>
        <w:rPr>
          <w:rFonts w:hint="eastAsia" w:ascii="宋体" w:hAnsi="宋体" w:eastAsia="宋体" w:cs="Times New Roman"/>
          <w:sz w:val="18"/>
          <w:szCs w:val="18"/>
        </w:rPr>
        <w:t>产品几何技术规范</w:t>
      </w:r>
      <w:r>
        <w:rPr>
          <w:rFonts w:ascii="宋体" w:hAnsi="宋体" w:eastAsia="宋体" w:cs="Times New Roman"/>
          <w:sz w:val="18"/>
          <w:szCs w:val="18"/>
        </w:rPr>
        <w:t xml:space="preserve">(GPS) </w:t>
      </w:r>
      <w:r>
        <w:rPr>
          <w:rFonts w:hint="eastAsia" w:ascii="宋体" w:hAnsi="宋体" w:eastAsia="宋体" w:cs="Times New Roman"/>
          <w:sz w:val="18"/>
          <w:szCs w:val="18"/>
        </w:rPr>
        <w:t>表面结构</w:t>
      </w:r>
      <w:r>
        <w:rPr>
          <w:rFonts w:ascii="宋体" w:hAnsi="宋体" w:eastAsia="宋体" w:cs="Times New Roman"/>
          <w:sz w:val="18"/>
          <w:szCs w:val="18"/>
        </w:rPr>
        <w:t xml:space="preserve"> </w:t>
      </w:r>
      <w:r>
        <w:rPr>
          <w:rFonts w:hint="eastAsia" w:ascii="宋体" w:hAnsi="宋体" w:eastAsia="宋体" w:cs="Times New Roman"/>
          <w:sz w:val="18"/>
          <w:szCs w:val="18"/>
        </w:rPr>
        <w:t>轮廓法</w:t>
      </w:r>
      <w:r>
        <w:rPr>
          <w:rFonts w:ascii="宋体" w:hAnsi="宋体" w:eastAsia="宋体" w:cs="Times New Roman"/>
          <w:sz w:val="18"/>
          <w:szCs w:val="18"/>
        </w:rPr>
        <w:t xml:space="preserve"> </w:t>
      </w:r>
      <w:r>
        <w:rPr>
          <w:rFonts w:hint="eastAsia" w:ascii="宋体" w:hAnsi="宋体" w:eastAsia="宋体" w:cs="Times New Roman"/>
          <w:sz w:val="18"/>
          <w:szCs w:val="18"/>
        </w:rPr>
        <w:t>表面粗糙度参数及其数值。</w:t>
      </w:r>
    </w:p>
    <w:p>
      <w:pPr>
        <w:pStyle w:val="8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ind w:left="315" w:firstLine="105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 xml:space="preserve">1. </w:t>
      </w:r>
      <w:r>
        <w:rPr>
          <w:rFonts w:hint="eastAsia" w:ascii="宋体" w:hAnsi="宋体" w:eastAsia="宋体" w:cs="Times New Roman"/>
          <w:sz w:val="18"/>
          <w:szCs w:val="18"/>
        </w:rPr>
        <w:t>了解表面精度对零件使用功能的影响。</w:t>
      </w:r>
    </w:p>
    <w:p>
      <w:pPr>
        <w:ind w:firstLine="420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 xml:space="preserve">2. </w:t>
      </w:r>
      <w:r>
        <w:rPr>
          <w:rFonts w:hint="eastAsia" w:ascii="宋体" w:hAnsi="宋体" w:eastAsia="宋体" w:cs="Times New Roman"/>
          <w:sz w:val="18"/>
          <w:szCs w:val="18"/>
        </w:rPr>
        <w:t>掌握表面精度的评定参数。</w:t>
      </w:r>
    </w:p>
    <w:p>
      <w:pPr>
        <w:ind w:firstLine="420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 xml:space="preserve">3. </w:t>
      </w:r>
      <w:r>
        <w:rPr>
          <w:rFonts w:hint="eastAsia" w:ascii="宋体" w:hAnsi="宋体" w:eastAsia="宋体" w:cs="Times New Roman"/>
          <w:sz w:val="18"/>
          <w:szCs w:val="18"/>
        </w:rPr>
        <w:t>掌握表面精度的符号及其标注。</w:t>
      </w:r>
    </w:p>
    <w:p>
      <w:pPr>
        <w:ind w:firstLine="420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 xml:space="preserve">4. </w:t>
      </w:r>
      <w:r>
        <w:rPr>
          <w:rFonts w:hint="eastAsia" w:ascii="宋体" w:hAnsi="宋体" w:eastAsia="宋体" w:cs="Times New Roman"/>
          <w:sz w:val="18"/>
          <w:szCs w:val="18"/>
        </w:rPr>
        <w:t>初步掌握表面精度的设计原则。</w:t>
      </w:r>
    </w:p>
    <w:p>
      <w:pPr>
        <w:pStyle w:val="8"/>
        <w:ind w:firstLine="271" w:firstLineChars="150"/>
        <w:rPr>
          <w:rFonts w:hAnsi="宋体"/>
          <w:b/>
          <w:sz w:val="18"/>
          <w:szCs w:val="18"/>
        </w:rPr>
      </w:pPr>
      <w:r>
        <w:rPr>
          <w:rFonts w:hint="eastAsia" w:hAnsi="宋体"/>
          <w:b/>
          <w:sz w:val="18"/>
          <w:szCs w:val="18"/>
        </w:rPr>
        <w:t>（四）典型零件精度设计</w:t>
      </w:r>
    </w:p>
    <w:p>
      <w:pPr>
        <w:ind w:left="420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考试内容</w:t>
      </w:r>
    </w:p>
    <w:p>
      <w:pPr>
        <w:ind w:firstLine="420"/>
        <w:rPr>
          <w:rFonts w:ascii="宋体" w:hAnsi="Calibri" w:eastAsia="宋体" w:cs="Times New Roman"/>
          <w:sz w:val="18"/>
          <w:szCs w:val="18"/>
        </w:rPr>
      </w:pPr>
      <w:r>
        <w:rPr>
          <w:rFonts w:hint="eastAsia" w:ascii="宋体" w:hAnsi="宋体" w:eastAsia="宋体" w:cs="Times New Roman"/>
          <w:sz w:val="18"/>
          <w:szCs w:val="18"/>
        </w:rPr>
        <w:t>滚动轴承</w:t>
      </w:r>
      <w:r>
        <w:rPr>
          <w:rFonts w:hint="eastAsia" w:ascii="Calibri" w:hAnsi="Calibri" w:eastAsia="宋体" w:cs="Times New Roman"/>
          <w:sz w:val="18"/>
          <w:szCs w:val="18"/>
        </w:rPr>
        <w:t>、平键、花键、螺纹、齿轮精度设计的基本概念</w:t>
      </w:r>
      <w:r>
        <w:rPr>
          <w:rFonts w:hint="eastAsia" w:ascii="宋体" w:hAnsi="宋体" w:eastAsia="宋体" w:cs="Times New Roman"/>
          <w:sz w:val="18"/>
          <w:szCs w:val="18"/>
        </w:rPr>
        <w:t>。</w:t>
      </w:r>
    </w:p>
    <w:p>
      <w:pPr>
        <w:pStyle w:val="8"/>
        <w:ind w:firstLine="435"/>
        <w:rPr>
          <w:rFonts w:hAnsi="宋体"/>
          <w:sz w:val="18"/>
          <w:szCs w:val="18"/>
        </w:rPr>
      </w:pPr>
      <w:r>
        <w:rPr>
          <w:rFonts w:hint="eastAsia" w:hAnsi="宋体"/>
          <w:sz w:val="18"/>
          <w:szCs w:val="18"/>
        </w:rPr>
        <w:t>考试要求</w:t>
      </w:r>
    </w:p>
    <w:p>
      <w:pPr>
        <w:ind w:left="315" w:firstLine="105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 xml:space="preserve">1. </w:t>
      </w:r>
      <w:r>
        <w:rPr>
          <w:rFonts w:hint="eastAsia" w:ascii="宋体" w:hAnsi="宋体" w:eastAsia="宋体" w:cs="Times New Roman"/>
          <w:sz w:val="18"/>
          <w:szCs w:val="18"/>
        </w:rPr>
        <w:t>掌握滚动轴承公差带的特点。</w:t>
      </w:r>
    </w:p>
    <w:p>
      <w:pPr>
        <w:ind w:firstLine="420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 xml:space="preserve">2. </w:t>
      </w:r>
      <w:r>
        <w:rPr>
          <w:rFonts w:hint="eastAsia" w:ascii="宋体" w:hAnsi="宋体" w:eastAsia="宋体" w:cs="Times New Roman"/>
          <w:sz w:val="18"/>
          <w:szCs w:val="18"/>
        </w:rPr>
        <w:t>掌握平键联结的三种形式。</w:t>
      </w:r>
    </w:p>
    <w:p>
      <w:pPr>
        <w:ind w:firstLine="420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 xml:space="preserve">3. </w:t>
      </w:r>
      <w:r>
        <w:rPr>
          <w:rFonts w:hint="eastAsia" w:ascii="宋体" w:hAnsi="宋体" w:eastAsia="宋体" w:cs="Times New Roman"/>
          <w:sz w:val="18"/>
          <w:szCs w:val="18"/>
        </w:rPr>
        <w:t>掌握花键联结的标注。</w:t>
      </w:r>
    </w:p>
    <w:p>
      <w:pPr>
        <w:ind w:firstLine="420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 xml:space="preserve">4. </w:t>
      </w:r>
      <w:r>
        <w:rPr>
          <w:rFonts w:hint="eastAsia" w:ascii="宋体" w:hAnsi="宋体" w:eastAsia="宋体" w:cs="Times New Roman"/>
          <w:sz w:val="18"/>
          <w:szCs w:val="18"/>
        </w:rPr>
        <w:t>掌握普通螺纹的标注。</w:t>
      </w:r>
    </w:p>
    <w:p>
      <w:pPr>
        <w:ind w:firstLine="420"/>
        <w:rPr>
          <w:rFonts w:ascii="宋体" w:hAnsi="Calibri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 xml:space="preserve">5. </w:t>
      </w:r>
      <w:r>
        <w:rPr>
          <w:rFonts w:hint="eastAsia" w:ascii="宋体" w:hAnsi="宋体" w:eastAsia="宋体" w:cs="Times New Roman"/>
          <w:sz w:val="18"/>
          <w:szCs w:val="18"/>
        </w:rPr>
        <w:t>了解齿轮传动的基本要求。</w:t>
      </w:r>
    </w:p>
    <w:p>
      <w:pPr>
        <w:ind w:firstLine="420"/>
        <w:rPr>
          <w:rFonts w:hint="eastAsia" w:ascii="宋体" w:hAnsi="宋体" w:eastAsia="宋体" w:cs="Times New Roman"/>
          <w:sz w:val="18"/>
          <w:szCs w:val="18"/>
        </w:rPr>
      </w:pPr>
      <w:r>
        <w:rPr>
          <w:rFonts w:ascii="宋体" w:hAnsi="宋体" w:eastAsia="宋体" w:cs="Times New Roman"/>
          <w:sz w:val="18"/>
          <w:szCs w:val="18"/>
        </w:rPr>
        <w:t xml:space="preserve">6. </w:t>
      </w:r>
      <w:r>
        <w:rPr>
          <w:rFonts w:hint="eastAsia" w:ascii="宋体" w:hAnsi="宋体" w:eastAsia="宋体" w:cs="Times New Roman"/>
          <w:sz w:val="18"/>
          <w:szCs w:val="18"/>
        </w:rPr>
        <w:t>掌握单个齿轮偏差的符号和概念。</w:t>
      </w:r>
    </w:p>
    <w:p>
      <w:r>
        <w:rPr>
          <w:rFonts w:hint="default" w:ascii="宋体" w:hAnsi="宋体" w:eastAsia="宋体" w:cs="Times New Roman"/>
          <w:sz w:val="18"/>
          <w:szCs w:val="18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6753F"/>
    <w:rsid w:val="6C16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Autospacing="0" w:after="33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宋体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  <w:style w:type="paragraph" w:customStyle="1" w:styleId="8">
    <w:name w:val="Plain Text"/>
    <w:basedOn w:val="1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2020-03-29T02:48:00Z</dcterms:created>
  <dc:creator>囿。</dc:creator>
  <cp:lastModifiedBy>囿。</cp:lastModifiedBy>
  <dcterms:modified xsi:type="dcterms:W3CDTF">2020-03-29T02:48:43Z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