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60" w:lineRule="atLeast"/>
        <w:jc w:val="center"/>
        <w:outlineLvl w:val="1"/>
        <w:rPr>
          <w:rFonts w:ascii="仿宋" w:hAnsi="仿宋" w:eastAsia="仿宋" w:cs="Arial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000000"/>
          <w:sz w:val="28"/>
          <w:szCs w:val="28"/>
        </w:rPr>
        <w:t>青岛大学商学院</w:t>
      </w:r>
      <w:r>
        <w:rPr>
          <w:rFonts w:ascii="仿宋" w:hAnsi="仿宋" w:eastAsia="仿宋" w:cs="Arial"/>
          <w:b/>
          <w:bCs/>
          <w:color w:val="000000"/>
          <w:sz w:val="28"/>
          <w:szCs w:val="28"/>
        </w:rPr>
        <w:t>2019年研究生预调剂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</w:rPr>
        <w:t>公告</w:t>
      </w:r>
    </w:p>
    <w:p>
      <w:pPr>
        <w:shd w:val="clear" w:color="auto" w:fill="FFFFFF"/>
        <w:adjustRightInd/>
        <w:snapToGrid/>
        <w:spacing w:after="0" w:line="360" w:lineRule="atLeast"/>
        <w:jc w:val="center"/>
        <w:outlineLvl w:val="1"/>
        <w:rPr>
          <w:rFonts w:ascii="仿宋" w:hAnsi="仿宋" w:eastAsia="仿宋" w:cs="Arial"/>
          <w:b/>
          <w:bCs/>
          <w:color w:val="000000"/>
          <w:sz w:val="28"/>
          <w:szCs w:val="28"/>
        </w:rPr>
      </w:pPr>
    </w:p>
    <w:p>
      <w:pPr>
        <w:shd w:val="clear" w:color="auto" w:fill="FFFFFF"/>
        <w:adjustRightInd/>
        <w:snapToGrid/>
        <w:spacing w:after="0" w:line="315" w:lineRule="atLeas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> 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</w:rPr>
        <w:t>在国家分数线未下达前，我院部分专业接收调剂考生预报名（具体调剂名额待国家线出来后确定）。欢迎相同或相近专业的考生报名。</w:t>
      </w:r>
    </w:p>
    <w:p>
      <w:pPr>
        <w:shd w:val="clear" w:color="auto" w:fill="FFFFFF"/>
        <w:adjustRightInd/>
        <w:snapToGrid/>
        <w:spacing w:after="0" w:line="315" w:lineRule="atLeast"/>
        <w:ind w:firstLine="562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一、学院简介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学院现有管理科学与工程博士后流动站；管理科学与工程一级学科博士点；工商管理、管理科学与工程2个一级学科硕士点； 企业管理、技术经济及管理、会计学等3个二级学科硕士点；工商管理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(MBA)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、工程管理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(MEM)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、会计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(MPAcc)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、物流工程、国际商务5个专业硕士学位点。管理科学与工程是省重点学科，山东省一流学科。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学校及学院有完善的奖助学金制度，学生有充分的出国交流学习机会。</w:t>
      </w:r>
    </w:p>
    <w:p>
      <w:pPr>
        <w:shd w:val="clear" w:color="auto" w:fill="FFFFFF"/>
        <w:adjustRightInd/>
        <w:snapToGrid/>
        <w:spacing w:after="0" w:line="315" w:lineRule="atLeast"/>
        <w:ind w:firstLine="562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二、意向调剂专业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（具体专业以学校研究生院网站为准）</w:t>
      </w:r>
    </w:p>
    <w:p>
      <w:pPr>
        <w:shd w:val="clear" w:color="auto" w:fill="FFFFFF"/>
        <w:adjustRightInd/>
        <w:snapToGrid/>
        <w:spacing w:after="0" w:line="315" w:lineRule="atLeas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微软雅黑" w:hAnsi="微软雅黑" w:eastAsia="仿宋" w:cs="宋体"/>
          <w:color w:val="000000"/>
          <w:sz w:val="28"/>
          <w:szCs w:val="28"/>
        </w:rPr>
        <w:t>  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025400国际商务 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  专业学位（全日制）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085240物流工程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   专业学位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（非全日制）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120100管理科学与工程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 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学术学位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120201会计学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                 学术学位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120204技术经济及管理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   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学术学位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125100工商管理（MBA</w:t>
      </w:r>
      <w:r>
        <w:rPr>
          <w:rFonts w:ascii="仿宋" w:hAnsi="仿宋" w:eastAsia="仿宋" w:cs="宋体"/>
          <w:color w:val="00000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专业学位（非全日制）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125300会计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MPAcc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专业学位（非全日制）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125600工程管理（MEM</w:t>
      </w:r>
      <w:r>
        <w:rPr>
          <w:rFonts w:ascii="仿宋" w:hAnsi="仿宋" w:eastAsia="仿宋" w:cs="宋体"/>
          <w:color w:val="00000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专业学位（非全日制）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微软雅黑" w:hAnsi="微软雅黑" w:eastAsia="仿宋" w:cs="宋体"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三、注意事项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1、有意调剂的考生请加入商学院调剂QQ群：191400237，及时获取相关信息。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2、请考生近期密切关注青岛大学研究生院及商学院的相关通知，待相关政策出台后，我院将在第一时间通知考生。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3、联系方式</w:t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联系人：曾老师；联系电话：0532-85958017</w:t>
      </w:r>
      <w:r>
        <w:rPr>
          <w:rFonts w:hint="eastAsia" w:ascii="微软雅黑" w:hAnsi="微软雅黑" w:eastAsia="仿宋" w:cs="宋体"/>
          <w:color w:val="000000"/>
          <w:sz w:val="28"/>
          <w:szCs w:val="28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315" w:lineRule="atLeast"/>
        <w:ind w:left="0" w:right="0" w:firstLine="480"/>
        <w:jc w:val="left"/>
      </w:pPr>
      <w:r>
        <w:rPr>
          <w:rFonts w:ascii="fangsong_gb2312" w:hAnsi="fangsong_gb2312" w:eastAsia="fangsong_gb2312" w:cs="fangsong_gb2312"/>
          <w:color w:val="00000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电子邮箱：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instrText xml:space="preserve"> HYPERLINK "mailto:458078712@qq.com" </w:instrTex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宋体"/>
          <w:color w:val="000000"/>
          <w:sz w:val="28"/>
          <w:szCs w:val="28"/>
        </w:rPr>
        <w:t>458078712@qq.com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fldChar w:fldCharType="end"/>
      </w:r>
    </w:p>
    <w:p>
      <w:pPr>
        <w:shd w:val="clear" w:color="auto" w:fill="FFFFFF"/>
        <w:adjustRightInd/>
        <w:snapToGrid/>
        <w:spacing w:after="0" w:line="315" w:lineRule="atLeast"/>
        <w:ind w:firstLine="480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商学院</w:t>
      </w:r>
    </w:p>
    <w:p>
      <w:pPr>
        <w:spacing w:line="220" w:lineRule="atLeas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2019/2/19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E526951"/>
    <w:rsid w:val="6EBC74C5"/>
    <w:rsid w:val="7678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3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qFormat/>
    <w:uiPriority w:val="99"/>
  </w:style>
  <w:style w:type="character" w:customStyle="1" w:styleId="7">
    <w:name w:val="标题 2 Char"/>
    <w:basedOn w:val="3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572</Characters>
  <Paragraphs>25</Paragraphs>
  <TotalTime>61</TotalTime>
  <ScaleCrop>false</ScaleCrop>
  <LinksUpToDate>false</LinksUpToDate>
  <CharactersWithSpaces>644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WPS Office</dc:creator>
  <cp:lastModifiedBy>liucuijun</cp:lastModifiedBy>
  <dcterms:modified xsi:type="dcterms:W3CDTF">2019-02-20T07:55:42Z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