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27" w:rsidRPr="00484027" w:rsidRDefault="00484027" w:rsidP="00484027">
      <w:pPr>
        <w:widowControl/>
        <w:spacing w:beforeLines="100" w:before="312"/>
        <w:jc w:val="center"/>
        <w:outlineLvl w:val="2"/>
        <w:rPr>
          <w:b/>
          <w:sz w:val="32"/>
          <w:szCs w:val="28"/>
        </w:rPr>
      </w:pPr>
      <w:bookmarkStart w:id="0" w:name="_Toc458843086"/>
      <w:r w:rsidRPr="00484027">
        <w:rPr>
          <w:rFonts w:hint="eastAsia"/>
          <w:b/>
          <w:sz w:val="32"/>
          <w:szCs w:val="28"/>
        </w:rPr>
        <w:t>全国会计硕士专业学位研究生</w:t>
      </w:r>
      <w:r w:rsidR="00542E2D">
        <w:rPr>
          <w:rFonts w:hint="eastAsia"/>
          <w:b/>
          <w:sz w:val="32"/>
          <w:szCs w:val="28"/>
        </w:rPr>
        <w:t>招生</w:t>
      </w:r>
      <w:r w:rsidRPr="00484027">
        <w:rPr>
          <w:rFonts w:hint="eastAsia"/>
          <w:b/>
          <w:sz w:val="32"/>
          <w:szCs w:val="28"/>
        </w:rPr>
        <w:t>考试</w:t>
      </w:r>
      <w:bookmarkEnd w:id="0"/>
    </w:p>
    <w:p w:rsidR="00484027" w:rsidRPr="00484027" w:rsidRDefault="00484027" w:rsidP="00484027">
      <w:pPr>
        <w:spacing w:afterLines="100" w:after="312"/>
        <w:jc w:val="center"/>
        <w:rPr>
          <w:sz w:val="28"/>
          <w:szCs w:val="28"/>
        </w:rPr>
      </w:pPr>
      <w:bookmarkStart w:id="1" w:name="_Toc458843087"/>
      <w:r w:rsidRPr="00484027">
        <w:rPr>
          <w:rFonts w:hint="eastAsia"/>
          <w:b/>
          <w:sz w:val="32"/>
          <w:szCs w:val="28"/>
        </w:rPr>
        <w:t>复试阶段专业课指导性大纲（</w:t>
      </w:r>
      <w:r w:rsidRPr="00484027">
        <w:rPr>
          <w:rFonts w:hint="eastAsia"/>
          <w:b/>
          <w:sz w:val="32"/>
          <w:szCs w:val="28"/>
        </w:rPr>
        <w:t>2016</w:t>
      </w:r>
      <w:r w:rsidRPr="00484027">
        <w:rPr>
          <w:rFonts w:hint="eastAsia"/>
          <w:b/>
          <w:sz w:val="32"/>
          <w:szCs w:val="28"/>
        </w:rPr>
        <w:t>）</w:t>
      </w:r>
      <w:bookmarkEnd w:id="1"/>
    </w:p>
    <w:p w:rsidR="000657F3" w:rsidRPr="008C0812" w:rsidRDefault="000657F3" w:rsidP="000657F3">
      <w:pPr>
        <w:ind w:firstLineChars="200" w:firstLine="560"/>
        <w:rPr>
          <w:sz w:val="28"/>
          <w:szCs w:val="28"/>
        </w:rPr>
      </w:pPr>
      <w:r w:rsidRPr="008C0812">
        <w:rPr>
          <w:rFonts w:hint="eastAsia"/>
          <w:sz w:val="28"/>
          <w:szCs w:val="28"/>
        </w:rPr>
        <w:t>为进一步规范会计硕士专业学位研究生录取工作，保证录取学生具备一定的会计专业素质，</w:t>
      </w:r>
      <w:r>
        <w:rPr>
          <w:rFonts w:hint="eastAsia"/>
          <w:sz w:val="28"/>
          <w:szCs w:val="28"/>
        </w:rPr>
        <w:t>特</w:t>
      </w:r>
      <w:r w:rsidRPr="008C0812">
        <w:rPr>
          <w:rFonts w:hint="eastAsia"/>
          <w:sz w:val="28"/>
          <w:szCs w:val="28"/>
        </w:rPr>
        <w:t>制定本指导性大纲，供各招生单位参考。本大纲注重对</w:t>
      </w:r>
      <w:r>
        <w:rPr>
          <w:rFonts w:hint="eastAsia"/>
          <w:sz w:val="28"/>
          <w:szCs w:val="28"/>
        </w:rPr>
        <w:t>考生</w:t>
      </w:r>
      <w:r w:rsidRPr="008C0812">
        <w:rPr>
          <w:rFonts w:hint="eastAsia"/>
          <w:sz w:val="28"/>
          <w:szCs w:val="28"/>
        </w:rPr>
        <w:t>专业基础知识、专业基本要求的考核，一些相对有难度的内容</w:t>
      </w:r>
      <w:r>
        <w:rPr>
          <w:rFonts w:hint="eastAsia"/>
          <w:sz w:val="28"/>
          <w:szCs w:val="28"/>
        </w:rPr>
        <w:t>应</w:t>
      </w:r>
      <w:r w:rsidRPr="008C0812">
        <w:rPr>
          <w:rFonts w:hint="eastAsia"/>
          <w:sz w:val="28"/>
          <w:szCs w:val="28"/>
        </w:rPr>
        <w:t>在学生入学后学习</w:t>
      </w:r>
      <w:r>
        <w:rPr>
          <w:rFonts w:hint="eastAsia"/>
          <w:sz w:val="28"/>
          <w:szCs w:val="28"/>
        </w:rPr>
        <w:t>与</w:t>
      </w:r>
      <w:r w:rsidRPr="008C0812">
        <w:rPr>
          <w:rFonts w:hint="eastAsia"/>
          <w:sz w:val="28"/>
          <w:szCs w:val="28"/>
        </w:rPr>
        <w:t>掌握。本大纲仅供各招生单位在复试阶段专业课</w:t>
      </w:r>
      <w:r>
        <w:rPr>
          <w:rFonts w:hint="eastAsia"/>
          <w:sz w:val="28"/>
          <w:szCs w:val="28"/>
        </w:rPr>
        <w:t>考</w:t>
      </w:r>
      <w:r w:rsidRPr="008C0812">
        <w:rPr>
          <w:rFonts w:hint="eastAsia"/>
          <w:sz w:val="28"/>
          <w:szCs w:val="28"/>
        </w:rPr>
        <w:t>试时参考，各招生单位可根据</w:t>
      </w:r>
      <w:r>
        <w:rPr>
          <w:rFonts w:hint="eastAsia"/>
          <w:sz w:val="28"/>
          <w:szCs w:val="28"/>
        </w:rPr>
        <w:t>自身的战略定位、培养目标、培养方案等</w:t>
      </w:r>
      <w:r w:rsidRPr="008C0812">
        <w:rPr>
          <w:rFonts w:hint="eastAsia"/>
          <w:sz w:val="28"/>
          <w:szCs w:val="28"/>
        </w:rPr>
        <w:t>对大纲的内容有所选择</w:t>
      </w:r>
      <w:r>
        <w:rPr>
          <w:rFonts w:hint="eastAsia"/>
          <w:sz w:val="28"/>
          <w:szCs w:val="28"/>
        </w:rPr>
        <w:t>与</w:t>
      </w:r>
      <w:r w:rsidRPr="008C0812">
        <w:rPr>
          <w:rFonts w:hint="eastAsia"/>
          <w:sz w:val="28"/>
          <w:szCs w:val="28"/>
        </w:rPr>
        <w:t>侧重</w:t>
      </w:r>
      <w:r>
        <w:rPr>
          <w:rFonts w:hint="eastAsia"/>
          <w:sz w:val="28"/>
          <w:szCs w:val="28"/>
        </w:rPr>
        <w:t>（应具备合理依据）</w:t>
      </w:r>
      <w:r w:rsidRPr="008C0812">
        <w:rPr>
          <w:rFonts w:hint="eastAsia"/>
          <w:sz w:val="28"/>
          <w:szCs w:val="28"/>
        </w:rPr>
        <w:t>。</w:t>
      </w:r>
    </w:p>
    <w:p w:rsidR="000657F3" w:rsidRPr="00D82966" w:rsidRDefault="000657F3" w:rsidP="000657F3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color w:val="333333"/>
          <w:kern w:val="0"/>
          <w:sz w:val="22"/>
        </w:rPr>
      </w:pP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第一部分   财务会计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财务会计报告的目标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会计基本假设与会计基础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会计信息质量要求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会计要素及其确认与计量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财务会计报告的组成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金融资产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金融资产的分类</w:t>
      </w:r>
    </w:p>
    <w:p w:rsidR="000657F3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第二节  </w:t>
      </w:r>
      <w:r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以摊余成本计量的金融资产</w:t>
      </w:r>
    </w:p>
    <w:p w:rsidR="000657F3" w:rsidRPr="006B6354" w:rsidRDefault="000657F3" w:rsidP="000657F3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第三节  </w:t>
      </w:r>
      <w:r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以公允价值计量且其变动计入其他综合收益的金融资产</w:t>
      </w:r>
    </w:p>
    <w:p w:rsidR="000657F3" w:rsidRPr="006B6354" w:rsidRDefault="000657F3" w:rsidP="000657F3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第四节  </w:t>
      </w:r>
      <w:r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以公允价值计量且其变动计入当期损益的金融资产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第三章  存货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第一节  存货的确认和初始计量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发出存货成本的计量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期末存货的计量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第四章  长期股权投资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长期股权投资的确认和初始计量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长期股权投资的后续计量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固定资产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固定资产的确认和初始计量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固定资产的后续计量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固定资产的处置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第六章  无形资产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无形资产的确认和初始计量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内部研究与开发支出的确认和计量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第三节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无形资产的后续计量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 无形资产的处置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第七章  负债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流动负债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非流动负债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第八章  所有者权益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实收资本（股本）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资本公积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其他综合收益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留存收益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第九章  收入、费用和利润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收入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第二节  费用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直接计入当期利润的利得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直接计入当期利润的损失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利润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第十章  财务报告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财务报告概述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资产负债表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利润表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现金流量表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所有者权益变动表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附注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第十一章  或有事项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或有事项概述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或有事项的确认和计量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或有事项的列报</w:t>
      </w:r>
    </w:p>
    <w:p w:rsidR="000657F3" w:rsidRPr="006B6354" w:rsidRDefault="000657F3" w:rsidP="000657F3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第十二章  资产负债表日后事项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资产负债表日后事项概述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调整事项的会计处理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非调整事项的会计处理</w:t>
      </w:r>
    </w:p>
    <w:p w:rsidR="000657F3" w:rsidRPr="006B6354" w:rsidRDefault="000657F3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第十三章  会计政策、会计估计变更和差错更正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会计政策及其变更</w:t>
      </w:r>
    </w:p>
    <w:p w:rsidR="000657F3" w:rsidRPr="006B6354" w:rsidRDefault="000657F3" w:rsidP="000657F3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会计估计及其变更</w:t>
      </w:r>
    </w:p>
    <w:p w:rsidR="00891487" w:rsidRDefault="000657F3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前期差错及其更正</w:t>
      </w:r>
    </w:p>
    <w:p w:rsidR="00D15209" w:rsidRDefault="00D15209" w:rsidP="000657F3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D15209" w:rsidRDefault="00D15209" w:rsidP="000657F3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>第二部分  成本与管理会计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管理会计与财务会计的区别与联系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成本的概念和分类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产品成本核算方法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产品成本计算概述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成本的归集与分配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产品成本计算的品种法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产品成本计算的分批法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产品成本计算的分步法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作业成本法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第三章  成本分析与成本管理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成本性态分析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变动成本法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成本管理方法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第四章  经营决策分析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经营决策分析的基本方法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本量利分析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经营决策中的成本概念运用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经营决策中的生产组织与外包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经营决策中的产能利用与存货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全面预算管理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全面预算概述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全面预算的类型与编制方法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营业预算的编制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第四节  财务预算的编制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预算实施与管理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预算结果的考评与反馈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第六章  责任会计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责任会计概述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责任中心的类型与基本原则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责任会计的职能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责任会计体系与部门绩效考核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15209" w:rsidRPr="006B6354" w:rsidRDefault="00D15209" w:rsidP="00D15209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/>
          <w:b/>
          <w:color w:val="333333"/>
          <w:kern w:val="0"/>
          <w:sz w:val="28"/>
          <w:szCs w:val="28"/>
        </w:rPr>
        <w:br w:type="page"/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>第三部分  财务管理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财务管理的概念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财务管理的目标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财务管理的环境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财务估值的基础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货币时间价值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风险和收益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kern w:val="0"/>
          <w:sz w:val="28"/>
          <w:szCs w:val="28"/>
        </w:rPr>
      </w:pPr>
      <w:r w:rsidRPr="006B6354">
        <w:rPr>
          <w:rFonts w:ascii="宋体" w:hAnsi="宋体" w:cs="宋体" w:hint="eastAsia"/>
          <w:kern w:val="0"/>
          <w:sz w:val="28"/>
          <w:szCs w:val="28"/>
        </w:rPr>
        <w:t>第三节  证券估值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6B6354">
        <w:rPr>
          <w:rFonts w:ascii="宋体" w:hAnsi="宋体" w:cs="宋体" w:hint="eastAsia"/>
          <w:kern w:val="0"/>
          <w:sz w:val="28"/>
          <w:szCs w:val="28"/>
        </w:rPr>
        <w:t>第三章  财务分析</w:t>
      </w:r>
    </w:p>
    <w:p w:rsidR="00D15209" w:rsidRPr="00CA141A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第一节  偿债能力分析</w:t>
      </w:r>
    </w:p>
    <w:p w:rsidR="00D15209" w:rsidRPr="00CA141A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第二节  营运能力分析</w:t>
      </w:r>
    </w:p>
    <w:p w:rsidR="00D15209" w:rsidRPr="00CA141A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第三节  获利能力分析</w:t>
      </w:r>
    </w:p>
    <w:p w:rsidR="00D15209" w:rsidRPr="00CA141A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第四节  发展能力分析</w:t>
      </w:r>
    </w:p>
    <w:p w:rsidR="00D15209" w:rsidRPr="00CA141A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第五节  综合财务分析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第四章 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长期</w:t>
      </w: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筹资决策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资本成本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资本结构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普通股筹资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长期负债筹资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投资决策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投资的概念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投资的现金流量分析</w:t>
      </w:r>
    </w:p>
    <w:p w:rsidR="00D15209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投资决策评价指标及其计算</w:t>
      </w:r>
    </w:p>
    <w:p w:rsid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第六章  营运资金管理</w:t>
      </w:r>
    </w:p>
    <w:p w:rsidR="00D15209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第一节  短期资产管理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第二节  短期筹资管理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第七</w:t>
      </w: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章  股利分配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利润分配概述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股利支付的程序和方式</w:t>
      </w:r>
    </w:p>
    <w:p w:rsidR="00D15209" w:rsidRPr="006B6354" w:rsidRDefault="00D15209" w:rsidP="00D15209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股利理论与股利分配政策</w:t>
      </w:r>
    </w:p>
    <w:p w:rsidR="00D15209" w:rsidRPr="006B6354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/>
          <w:b/>
          <w:color w:val="333333"/>
          <w:kern w:val="0"/>
          <w:sz w:val="28"/>
          <w:szCs w:val="28"/>
        </w:rPr>
        <w:br w:type="page"/>
      </w:r>
    </w:p>
    <w:p w:rsidR="00D15209" w:rsidRPr="008C0812" w:rsidRDefault="00D15209" w:rsidP="00D15209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 xml:space="preserve">第四部分  </w:t>
      </w:r>
      <w:r w:rsidRPr="008C0812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审  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>第一章  总论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第一节  审计的定义和特征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第二节  审计的职能和作用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第三节  审计的分类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第四节  审计准则、职业道德和法律责任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>第二章  财务报表审计的核心概念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第一节  审计目标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第二节  重要性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第三节  审计风险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第四节  审计证据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第五节  审计程序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>第三章  财务报表审计的思路和步骤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第一节  风险导向审计的基本思路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第二节  风险评估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第三节  控制测试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第四节  实质性程序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>第四章  主要业务循环的审计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第一节  销售与收款循环的审计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第二节  采购与付款循环的审计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 xml:space="preserve">第三节  </w:t>
      </w:r>
      <w:r w:rsidRPr="00D15209">
        <w:rPr>
          <w:rFonts w:ascii="宋体" w:hAnsi="宋体" w:cs="宋体"/>
          <w:kern w:val="0"/>
          <w:sz w:val="28"/>
          <w:szCs w:val="28"/>
        </w:rPr>
        <w:t>生产与职工薪酬循环</w:t>
      </w:r>
      <w:r w:rsidRPr="00D15209">
        <w:rPr>
          <w:rFonts w:ascii="宋体" w:hAnsi="宋体" w:cs="宋体" w:hint="eastAsia"/>
          <w:kern w:val="0"/>
          <w:sz w:val="28"/>
          <w:szCs w:val="28"/>
        </w:rPr>
        <w:t>的</w:t>
      </w:r>
      <w:r w:rsidRPr="00D15209">
        <w:rPr>
          <w:rFonts w:ascii="宋体" w:hAnsi="宋体" w:cs="宋体"/>
          <w:kern w:val="0"/>
          <w:sz w:val="28"/>
          <w:szCs w:val="28"/>
        </w:rPr>
        <w:t>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 xml:space="preserve">第四节  </w:t>
      </w:r>
      <w:r w:rsidRPr="00D15209">
        <w:rPr>
          <w:rFonts w:ascii="宋体" w:hAnsi="宋体" w:cs="宋体"/>
          <w:kern w:val="0"/>
          <w:sz w:val="28"/>
          <w:szCs w:val="28"/>
        </w:rPr>
        <w:t>筹资与投资循环</w:t>
      </w:r>
      <w:r w:rsidRPr="00D15209">
        <w:rPr>
          <w:rFonts w:ascii="宋体" w:hAnsi="宋体" w:cs="宋体" w:hint="eastAsia"/>
          <w:kern w:val="0"/>
          <w:sz w:val="28"/>
          <w:szCs w:val="28"/>
        </w:rPr>
        <w:t>的</w:t>
      </w:r>
      <w:r w:rsidRPr="00D15209">
        <w:rPr>
          <w:rFonts w:ascii="宋体" w:hAnsi="宋体" w:cs="宋体"/>
          <w:kern w:val="0"/>
          <w:sz w:val="28"/>
          <w:szCs w:val="28"/>
        </w:rPr>
        <w:t>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第五节  货币资金与特殊项目的审计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>第五章  审计报告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第一节  审计意见的形成和类型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 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第二节  标准审计报告的结构和内容</w:t>
      </w:r>
    </w:p>
    <w:p w:rsidR="00D15209" w:rsidRPr="00D15209" w:rsidRDefault="00D15209" w:rsidP="00D15209">
      <w:pPr>
        <w:widowControl/>
        <w:snapToGrid w:val="0"/>
        <w:spacing w:line="360" w:lineRule="auto"/>
        <w:ind w:right="705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D15209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D15209">
        <w:rPr>
          <w:rFonts w:ascii="宋体" w:hAnsi="宋体" w:cs="宋体" w:hint="eastAsia"/>
          <w:kern w:val="0"/>
          <w:sz w:val="28"/>
          <w:szCs w:val="28"/>
        </w:rPr>
        <w:t>第三节  非标准审计报告的结构和内容</w:t>
      </w:r>
      <w:bookmarkStart w:id="2" w:name="_GoBack"/>
      <w:bookmarkEnd w:id="2"/>
    </w:p>
    <w:sectPr w:rsidR="00D15209" w:rsidRPr="00D1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67" w:rsidRDefault="00047367" w:rsidP="00F61115">
      <w:r>
        <w:separator/>
      </w:r>
    </w:p>
  </w:endnote>
  <w:endnote w:type="continuationSeparator" w:id="0">
    <w:p w:rsidR="00047367" w:rsidRDefault="00047367" w:rsidP="00F6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67" w:rsidRDefault="00047367" w:rsidP="00F61115">
      <w:r>
        <w:separator/>
      </w:r>
    </w:p>
  </w:footnote>
  <w:footnote w:type="continuationSeparator" w:id="0">
    <w:p w:rsidR="00047367" w:rsidRDefault="00047367" w:rsidP="00F6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F3"/>
    <w:rsid w:val="00047367"/>
    <w:rsid w:val="000657F3"/>
    <w:rsid w:val="00210F9B"/>
    <w:rsid w:val="00484027"/>
    <w:rsid w:val="00542E2D"/>
    <w:rsid w:val="00671A8B"/>
    <w:rsid w:val="00891487"/>
    <w:rsid w:val="00D15209"/>
    <w:rsid w:val="00F6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8C500"/>
  <w15:chartTrackingRefBased/>
  <w15:docId w15:val="{76A79D86-445C-4BD1-8BB0-78B540DF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0657F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657F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657F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657F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111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1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11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2018-12-26T06:59:00Z</dcterms:created>
  <dcterms:modified xsi:type="dcterms:W3CDTF">2019-01-22T02:03:00Z</dcterms:modified>
</cp:coreProperties>
</file>