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附件2：</w:t>
      </w:r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西南大学2019年硕士研究生招生</w:t>
      </w:r>
      <w:r>
        <w:rPr>
          <w:rFonts w:hint="eastAsia"/>
          <w:b/>
          <w:bCs/>
          <w:sz w:val="30"/>
          <w:szCs w:val="30"/>
        </w:rPr>
        <w:t>少数民族高层次骨干人才计划考生进入复试的初试成绩要求</w:t>
      </w:r>
    </w:p>
    <w:p>
      <w:pPr>
        <w:jc w:val="center"/>
        <w:rPr>
          <w:rFonts w:hint="eastAsia"/>
          <w:b/>
          <w:bCs/>
          <w:sz w:val="30"/>
          <w:szCs w:val="30"/>
        </w:rPr>
      </w:pPr>
      <w:bookmarkStart w:id="0" w:name="_GoBack"/>
      <w:bookmarkEnd w:id="0"/>
    </w:p>
    <w:p>
      <w:pPr>
        <w:spacing w:line="360" w:lineRule="auto"/>
        <w:ind w:firstLine="420"/>
        <w:jc w:val="left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根据教育部下达的各分省招生计划数以及少数民族、汉族考生的录取比例要求，经学校研究生招生领导小组研究决定，</w:t>
      </w:r>
      <w:r>
        <w:rPr>
          <w:rFonts w:hint="eastAsia" w:ascii="宋体" w:hAnsi="宋体"/>
          <w:bCs/>
          <w:sz w:val="24"/>
          <w:szCs w:val="24"/>
        </w:rPr>
        <w:t>少数民族高层次骨干人才计划考生进入复试的初试成绩基本要求</w:t>
      </w:r>
      <w:r>
        <w:rPr>
          <w:rFonts w:hint="eastAsia" w:ascii="宋体" w:hAnsi="宋体"/>
          <w:sz w:val="24"/>
          <w:szCs w:val="24"/>
        </w:rPr>
        <w:t>如下：</w:t>
      </w:r>
    </w:p>
    <w:p>
      <w:pPr>
        <w:jc w:val="center"/>
        <w:rPr>
          <w:rFonts w:hint="eastAsia"/>
          <w:sz w:val="24"/>
          <w:szCs w:val="24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一、少数民族考生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进入复试的初试成绩要求</w:t>
      </w:r>
    </w:p>
    <w:tbl>
      <w:tblPr>
        <w:tblStyle w:val="4"/>
        <w:tblW w:w="13620" w:type="dxa"/>
        <w:jc w:val="center"/>
        <w:tblInd w:w="-54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646"/>
        <w:gridCol w:w="970"/>
        <w:gridCol w:w="610"/>
        <w:gridCol w:w="571"/>
        <w:gridCol w:w="989"/>
        <w:gridCol w:w="567"/>
        <w:gridCol w:w="613"/>
        <w:gridCol w:w="614"/>
        <w:gridCol w:w="598"/>
        <w:gridCol w:w="614"/>
        <w:gridCol w:w="598"/>
        <w:gridCol w:w="599"/>
        <w:gridCol w:w="565"/>
        <w:gridCol w:w="598"/>
        <w:gridCol w:w="565"/>
        <w:gridCol w:w="686"/>
        <w:gridCol w:w="635"/>
        <w:gridCol w:w="597"/>
        <w:gridCol w:w="715"/>
        <w:gridCol w:w="5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省份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</w:tr>
    </w:tbl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汉族考生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进入复试的初试成绩要求</w:t>
      </w:r>
    </w:p>
    <w:p>
      <w:pPr>
        <w:numPr>
          <w:ilvl w:val="0"/>
          <w:numId w:val="0"/>
        </w:numPr>
        <w:ind w:firstLine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总分不低于282分</w:t>
      </w:r>
    </w:p>
    <w:p>
      <w:pPr>
        <w:numPr>
          <w:ilvl w:val="0"/>
          <w:numId w:val="0"/>
        </w:numPr>
        <w:ind w:firstLine="420" w:firstLineChars="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20" w:firstLineChars="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20" w:firstLineChars="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20" w:firstLineChars="0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注：生源省市以《报考201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年少数民族高层次骨干人才计划硕士研究生考生登记表》中盖章确认资格的“省、自治区、直辖市教育厅（教委）”为准。</w:t>
      </w:r>
    </w:p>
    <w:p>
      <w:pPr>
        <w:numPr>
          <w:ilvl w:val="0"/>
          <w:numId w:val="0"/>
        </w:numPr>
        <w:ind w:firstLine="420" w:firstLineChars="0"/>
        <w:rPr>
          <w:rFonts w:hint="default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E0B731"/>
    <w:multiLevelType w:val="singleLevel"/>
    <w:tmpl w:val="E4E0B73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15AD6"/>
    <w:rsid w:val="25BC5A20"/>
    <w:rsid w:val="3DF5347E"/>
    <w:rsid w:val="57243CAB"/>
    <w:rsid w:val="5C1D0E72"/>
    <w:rsid w:val="6D215AD6"/>
    <w:rsid w:val="7D8D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font41"/>
    <w:basedOn w:val="5"/>
    <w:uiPriority w:val="0"/>
    <w:rPr>
      <w:rFonts w:hint="eastAsia" w:ascii="宋体" w:hAnsi="宋体" w:eastAsia="宋体" w:cs="宋体"/>
      <w:b/>
      <w:i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2019-03-19T05:20:00Z</dcterms:created>
  <dc:creator>Administrator</dc:creator>
  <cp:lastModifiedBy>唐彪</cp:lastModifiedBy>
  <dcterms:modified xsi:type="dcterms:W3CDTF">2019-03-20T09:26:30Z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